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AD4" w:rsidRPr="00C02AD4" w:rsidRDefault="00FF6DC4" w:rsidP="00C02AD4">
      <w:pPr>
        <w:pStyle w:val="Heading6"/>
        <w:numPr>
          <w:ilvl w:val="0"/>
          <w:numId w:val="0"/>
        </w:numPr>
        <w:tabs>
          <w:tab w:val="left" w:pos="708"/>
        </w:tabs>
        <w:spacing w:before="0" w:line="276" w:lineRule="auto"/>
        <w:rPr>
          <w:rFonts w:ascii="Times New Roman" w:eastAsia="Calibri" w:hAnsi="Times New Roman" w:cs="Times New Roman"/>
          <w:bCs/>
          <w:sz w:val="22"/>
          <w:szCs w:val="22"/>
          <w:lang w:val="hu-HU"/>
        </w:rPr>
      </w:pP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Pr>
          <w:rFonts w:ascii="Times New Roman" w:eastAsia="Calibri" w:hAnsi="Times New Roman" w:cs="Times New Roman"/>
          <w:bCs/>
          <w:sz w:val="22"/>
          <w:szCs w:val="22"/>
          <w:lang w:val="hu-HU"/>
        </w:rPr>
        <w:tab/>
      </w:r>
      <w:r w:rsidR="00A11C3C">
        <w:rPr>
          <w:rFonts w:ascii="Times New Roman" w:eastAsia="Calibri" w:hAnsi="Times New Roman" w:cs="Times New Roman"/>
          <w:bCs/>
          <w:sz w:val="22"/>
          <w:szCs w:val="22"/>
          <w:lang w:val="hu-HU"/>
        </w:rPr>
        <w:t>Anexa nr.</w:t>
      </w:r>
      <w:r w:rsidR="001A5155">
        <w:rPr>
          <w:rFonts w:ascii="Times New Roman" w:eastAsia="Calibri" w:hAnsi="Times New Roman" w:cs="Times New Roman"/>
          <w:bCs/>
          <w:sz w:val="22"/>
          <w:szCs w:val="22"/>
          <w:lang w:val="hu-HU"/>
        </w:rPr>
        <w:t xml:space="preserve"> </w:t>
      </w:r>
      <w:bookmarkStart w:id="0" w:name="_GoBack"/>
      <w:bookmarkEnd w:id="0"/>
      <w:r w:rsidR="00A11C3C">
        <w:rPr>
          <w:rFonts w:ascii="Times New Roman" w:eastAsia="Calibri" w:hAnsi="Times New Roman" w:cs="Times New Roman"/>
          <w:bCs/>
          <w:sz w:val="22"/>
          <w:szCs w:val="22"/>
          <w:lang w:val="hu-HU"/>
        </w:rPr>
        <w:t>8 la HCL________/2023</w:t>
      </w:r>
    </w:p>
    <w:p w:rsidR="00C02AD4" w:rsidRDefault="00C02AD4" w:rsidP="007F27BD">
      <w:pPr>
        <w:jc w:val="center"/>
        <w:rPr>
          <w:rFonts w:ascii="Times New Roman" w:hAnsi="Times New Roman" w:cs="Times New Roman"/>
          <w:b/>
          <w:sz w:val="24"/>
          <w:u w:val="single"/>
        </w:rPr>
      </w:pPr>
    </w:p>
    <w:p w:rsidR="00B1778C" w:rsidRDefault="007F27BD" w:rsidP="007F27BD">
      <w:pPr>
        <w:jc w:val="center"/>
        <w:rPr>
          <w:rFonts w:ascii="Times New Roman" w:hAnsi="Times New Roman" w:cs="Times New Roman"/>
          <w:b/>
          <w:sz w:val="24"/>
          <w:u w:val="single"/>
        </w:rPr>
      </w:pPr>
      <w:r w:rsidRPr="007F27BD">
        <w:rPr>
          <w:rFonts w:ascii="Times New Roman" w:hAnsi="Times New Roman" w:cs="Times New Roman"/>
          <w:b/>
          <w:sz w:val="24"/>
          <w:u w:val="single"/>
        </w:rPr>
        <w:t xml:space="preserve">VIZUALIZARE CRITERII DUAE LA DOCUMENTATIA DE ATRIBUIRE SERVICII DE </w:t>
      </w:r>
      <w:r>
        <w:rPr>
          <w:rFonts w:ascii="Times New Roman" w:hAnsi="Times New Roman" w:cs="Times New Roman"/>
          <w:b/>
          <w:sz w:val="24"/>
          <w:u w:val="single"/>
        </w:rPr>
        <w:t>SALUBRIZARE PENTRU ACTIVITATE DE DEZINFECȚIE, DEZINSECȚIE ȘI DERATIZARE</w:t>
      </w:r>
    </w:p>
    <w:p w:rsidR="005C2E1F" w:rsidRPr="007F27BD" w:rsidRDefault="005C2E1F" w:rsidP="007F27BD">
      <w:pPr>
        <w:jc w:val="center"/>
        <w:rPr>
          <w:rFonts w:ascii="Times New Roman" w:hAnsi="Times New Roman" w:cs="Times New Roman"/>
          <w:b/>
          <w:sz w:val="24"/>
          <w:u w:val="single"/>
        </w:rPr>
      </w:pPr>
    </w:p>
    <w:p w:rsidR="007F27BD" w:rsidRDefault="007F27BD" w:rsidP="007F27BD">
      <w:pPr>
        <w:rPr>
          <w:rFonts w:ascii="Times New Roman" w:hAnsi="Times New Roman" w:cs="Times New Roman"/>
        </w:rPr>
      </w:pPr>
      <w:r w:rsidRPr="007F27BD">
        <w:rPr>
          <w:rFonts w:ascii="Times New Roman" w:hAnsi="Times New Roman" w:cs="Times New Roman"/>
        </w:rPr>
        <w:t xml:space="preserve">Tip procedura: </w:t>
      </w:r>
      <w:r>
        <w:rPr>
          <w:rFonts w:ascii="Times New Roman" w:hAnsi="Times New Roman" w:cs="Times New Roman"/>
        </w:rPr>
        <w:t>Procedură simplificată</w:t>
      </w:r>
    </w:p>
    <w:p w:rsidR="007F27BD" w:rsidRDefault="007F27BD" w:rsidP="007F27BD">
      <w:pPr>
        <w:rPr>
          <w:rFonts w:ascii="Times New Roman" w:hAnsi="Times New Roman" w:cs="Times New Roman"/>
        </w:rPr>
      </w:pPr>
      <w:r>
        <w:rPr>
          <w:rFonts w:ascii="Times New Roman" w:hAnsi="Times New Roman" w:cs="Times New Roman"/>
        </w:rPr>
        <w:t>Legea nr. 98/23.05.2016</w:t>
      </w:r>
    </w:p>
    <w:p w:rsidR="007F27BD" w:rsidRDefault="007F27BD" w:rsidP="007F27BD">
      <w:pPr>
        <w:rPr>
          <w:rFonts w:ascii="Times New Roman" w:hAnsi="Times New Roman" w:cs="Times New Roman"/>
        </w:rPr>
      </w:pPr>
      <w:r>
        <w:rPr>
          <w:rFonts w:ascii="Times New Roman" w:hAnsi="Times New Roman" w:cs="Times New Roman"/>
        </w:rPr>
        <w:t>Sectoriale: Nu</w:t>
      </w:r>
    </w:p>
    <w:p w:rsidR="007F27BD" w:rsidRDefault="007F27BD" w:rsidP="007F27BD">
      <w:pPr>
        <w:rPr>
          <w:rFonts w:ascii="Times New Roman" w:hAnsi="Times New Roman" w:cs="Times New Roman"/>
        </w:rPr>
      </w:pPr>
      <w:r>
        <w:rPr>
          <w:rFonts w:ascii="Times New Roman" w:hAnsi="Times New Roman" w:cs="Times New Roman"/>
        </w:rPr>
        <w:t>PPP: Nu</w:t>
      </w:r>
    </w:p>
    <w:p w:rsidR="007F27BD" w:rsidRPr="007F27BD" w:rsidRDefault="007F27BD" w:rsidP="007F27BD">
      <w:pPr>
        <w:rPr>
          <w:rFonts w:ascii="Times New Roman" w:hAnsi="Times New Roman" w:cs="Times New Roman"/>
        </w:rPr>
      </w:pPr>
    </w:p>
    <w:p w:rsidR="007F27BD" w:rsidRPr="007F27BD" w:rsidRDefault="00E908FF" w:rsidP="005C2E1F">
      <w:pPr>
        <w:spacing w:line="276" w:lineRule="auto"/>
        <w:rPr>
          <w:rFonts w:ascii="Times New Roman" w:hAnsi="Times New Roman" w:cs="Times New Roman"/>
          <w:b/>
          <w:sz w:val="24"/>
          <w:u w:val="single"/>
        </w:rPr>
      </w:pPr>
      <w:r>
        <w:rPr>
          <w:rFonts w:ascii="Times New Roman" w:hAnsi="Times New Roman" w:cs="Times New Roman"/>
          <w:b/>
          <w:sz w:val="24"/>
          <w:u w:val="single"/>
        </w:rPr>
        <w:t>MOTIVE DE EXCLUDERE</w:t>
      </w: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A: MOTIVE REFERITOARE LA CONDAMNARI PENALE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57 alineatul (1) din Directiva 2014/24/UE stabileste urmatoarele motive de excludere</w:t>
      </w:r>
    </w:p>
    <w:p w:rsidR="007F27BD" w:rsidRPr="007F27BD" w:rsidRDefault="007F27BD" w:rsidP="005C2E1F">
      <w:pPr>
        <w:spacing w:line="276" w:lineRule="auto"/>
        <w:rPr>
          <w:rFonts w:ascii="Times New Roman" w:hAnsi="Times New Roman" w:cs="Times New Roman"/>
        </w:rPr>
      </w:pP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B: MOTIVE LEGATE DE PLATA IMPOZITELOR SAU A CONTRIBUTIILOR LA ASIGURARILE SOCIALE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57 alineatul (2) din Directiva 2014/24/UE stabileste urmatoarele motive de excludere</w:t>
      </w:r>
    </w:p>
    <w:p w:rsidR="007F27BD" w:rsidRPr="007F27BD" w:rsidRDefault="007F27BD" w:rsidP="005C2E1F">
      <w:pPr>
        <w:spacing w:line="276" w:lineRule="auto"/>
        <w:rPr>
          <w:rFonts w:ascii="Times New Roman" w:hAnsi="Times New Roman" w:cs="Times New Roman"/>
        </w:rPr>
      </w:pP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C: MOTIVE LEGATE DE INSOLVENTA, CON</w:t>
      </w:r>
      <w:r w:rsidR="00F840E7">
        <w:rPr>
          <w:rFonts w:ascii="Times New Roman" w:hAnsi="Times New Roman" w:cs="Times New Roman"/>
          <w:b/>
        </w:rPr>
        <w:t>FL</w:t>
      </w:r>
      <w:r w:rsidRPr="00E908FF">
        <w:rPr>
          <w:rFonts w:ascii="Times New Roman" w:hAnsi="Times New Roman" w:cs="Times New Roman"/>
          <w:b/>
        </w:rPr>
        <w:t>ICTE DE INTERESE SAU ABATERI PROFESIONALE</w:t>
      </w:r>
    </w:p>
    <w:p w:rsidR="007F27BD" w:rsidRDefault="007F27BD" w:rsidP="005C2E1F">
      <w:pPr>
        <w:spacing w:line="276" w:lineRule="auto"/>
        <w:rPr>
          <w:rFonts w:ascii="Times New Roman" w:hAnsi="Times New Roman" w:cs="Times New Roman"/>
        </w:rPr>
      </w:pPr>
      <w:r w:rsidRPr="007F27BD">
        <w:rPr>
          <w:rFonts w:ascii="Times New Roman" w:hAnsi="Times New Roman" w:cs="Times New Roman"/>
        </w:rPr>
        <w:t xml:space="preserve">Articolul 57 alineatul (4) din Directiva 2014/24/UE stabileste </w:t>
      </w:r>
      <w:r>
        <w:rPr>
          <w:rFonts w:ascii="Times New Roman" w:hAnsi="Times New Roman" w:cs="Times New Roman"/>
        </w:rPr>
        <w:t>urmatoarele motive de excludere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de mediu</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sociale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muncii</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Falimentul</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Insolventa</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Concordat preventiv</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Situatii similare, In temeiul legislatiei nationale, cum ar falimentul</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Active administrate de lichidator</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Activitatile economice sunt suspendate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Vinovat de comiterea unei abateri profesionale grave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Acorduri cu alti operatori economici care vizeaza denaturarea concurentei</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Conflict de interese care decurge din participarea la procedura de achizitii publice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Implicare directa sau indirecta In pregatirea acestei proceduri de achizitii publice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Incetare anticipata, daune-interese sau alte sanctiuni comparabile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Vinovat de interpretare eronata, nedivulgare de informatii, incapacitate de a furniza documentele necesare si obtinere de informatii con dentiale referitoare la aceasta procedura</w:t>
      </w:r>
    </w:p>
    <w:p w:rsidR="007F27BD" w:rsidRDefault="007F27BD" w:rsidP="005C2E1F">
      <w:pPr>
        <w:spacing w:line="276" w:lineRule="auto"/>
        <w:rPr>
          <w:rFonts w:ascii="Times New Roman" w:hAnsi="Times New Roman" w:cs="Times New Roman"/>
        </w:rPr>
      </w:pPr>
    </w:p>
    <w:p w:rsidR="005C2E1F" w:rsidRPr="007F27BD" w:rsidRDefault="005C2E1F" w:rsidP="005C2E1F">
      <w:pPr>
        <w:spacing w:line="276" w:lineRule="auto"/>
        <w:rPr>
          <w:rFonts w:ascii="Times New Roman" w:hAnsi="Times New Roman" w:cs="Times New Roman"/>
        </w:rPr>
      </w:pPr>
    </w:p>
    <w:p w:rsidR="007F27BD" w:rsidRPr="007F27BD" w:rsidRDefault="00E908FF" w:rsidP="005C2E1F">
      <w:pPr>
        <w:spacing w:line="276" w:lineRule="auto"/>
        <w:rPr>
          <w:rFonts w:ascii="Times New Roman" w:hAnsi="Times New Roman" w:cs="Times New Roman"/>
          <w:b/>
          <w:sz w:val="24"/>
          <w:u w:val="single"/>
        </w:rPr>
      </w:pPr>
      <w:r>
        <w:rPr>
          <w:rFonts w:ascii="Times New Roman" w:hAnsi="Times New Roman" w:cs="Times New Roman"/>
          <w:b/>
          <w:sz w:val="24"/>
          <w:u w:val="single"/>
        </w:rPr>
        <w:t>CRITERII DE SELECTIE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Autoritatile contracta</w:t>
      </w:r>
      <w:r w:rsidR="00E908FF">
        <w:rPr>
          <w:rFonts w:ascii="Times New Roman" w:hAnsi="Times New Roman" w:cs="Times New Roman"/>
        </w:rPr>
        <w:t>nte trebuie sa indice care vor fi</w:t>
      </w:r>
      <w:r w:rsidRPr="007F27BD">
        <w:rPr>
          <w:rFonts w:ascii="Times New Roman" w:hAnsi="Times New Roman" w:cs="Times New Roman"/>
        </w:rPr>
        <w:t xml:space="preserve"> criteriile de selectie aplicate, bifand casuta care se gaseste Inainte de criteriul relevant. Sunteti sigur ca doriti sa utilizati criteriile de selectie de la A la D?</w:t>
      </w: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A: CAPACITATEA DE A CORESPUNDE CERINTELOR</w:t>
      </w:r>
    </w:p>
    <w:p w:rsidR="00E908FF"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(2) din Directiva 2014/24/UE stabileste u</w:t>
      </w:r>
      <w:r w:rsidR="00E908FF">
        <w:rPr>
          <w:rFonts w:ascii="Times New Roman" w:hAnsi="Times New Roman" w:cs="Times New Roman"/>
        </w:rPr>
        <w:t>rmatoarele motive de selectie</w:t>
      </w:r>
    </w:p>
    <w:p w:rsidR="007F27BD" w:rsidRPr="00E908FF" w:rsidRDefault="007F27BD" w:rsidP="005C2E1F">
      <w:pPr>
        <w:pStyle w:val="ListParagraph"/>
        <w:numPr>
          <w:ilvl w:val="0"/>
          <w:numId w:val="1"/>
        </w:numPr>
        <w:spacing w:line="276" w:lineRule="auto"/>
        <w:rPr>
          <w:rFonts w:ascii="Times New Roman" w:hAnsi="Times New Roman" w:cs="Times New Roman"/>
        </w:rPr>
      </w:pPr>
      <w:r w:rsidRPr="00E908FF">
        <w:rPr>
          <w:rFonts w:ascii="Times New Roman" w:hAnsi="Times New Roman" w:cs="Times New Roman"/>
        </w:rPr>
        <w:t>Inscrierea In registrul comertului</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INFORMATII SI FORMALITATI NECESARE PENTRU EVALUAREA RESPECTARII CERINTELOR MENTIONATE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informatiile aferente situatiei lor. Operatorii economici ce depun oferta trebuie sa dovedeasca o forma de inregistrare in conditiile legii din tara de rezidenta, din care sa reiasa ca operatorul economic este legal constituit, ca nu se a a in niciuna dintre situatiile de anulare a constituirii precum si faptul ca domeniile de activitate autorizate ale ofertantului corespund cu obiectivul procedurii de atribuire si pot realiza activitatile care fac obiectul contractului in conditii de legalitate.</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Documentele justi cative care probeaza indeplinirea celor asumate prin completarea DUAE, respectiv certi cat constatator emis de ONRC, sau in cazul ofertantilor straini, documente echivalente emise in tara de rezidenta, se vor solicita de ofertantul clasat pe primul loc in clasamentul nal, dupa aplicarea criteriului de atribuire.</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B: CAPACITATEA ECONOMICA SI NANCIARA</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(3) din Directiva 2014/24/UE stabileste urmatoarele motive de selectie</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C: CAPACITATEA TEHNICA SI PROFESIONALA</w:t>
      </w:r>
    </w:p>
    <w:p w:rsidR="00E908FF"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(4) din Directiva 2014/24/UE stabileste u</w:t>
      </w:r>
      <w:r w:rsidR="00E908FF">
        <w:rPr>
          <w:rFonts w:ascii="Times New Roman" w:hAnsi="Times New Roman" w:cs="Times New Roman"/>
        </w:rPr>
        <w:t>rmatoarele motive de selectie</w:t>
      </w:r>
    </w:p>
    <w:p w:rsidR="007F27BD" w:rsidRPr="00E908FF" w:rsidRDefault="007F27BD" w:rsidP="005C2E1F">
      <w:pPr>
        <w:pStyle w:val="ListParagraph"/>
        <w:numPr>
          <w:ilvl w:val="0"/>
          <w:numId w:val="3"/>
        </w:numPr>
        <w:spacing w:line="276" w:lineRule="auto"/>
        <w:rPr>
          <w:rFonts w:ascii="Times New Roman" w:hAnsi="Times New Roman" w:cs="Times New Roman"/>
        </w:rPr>
      </w:pPr>
      <w:r w:rsidRPr="00E908FF">
        <w:rPr>
          <w:rFonts w:ascii="Times New Roman" w:hAnsi="Times New Roman" w:cs="Times New Roman"/>
        </w:rPr>
        <w:t>Proportia de subcontractare</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INFORMATII SI FORMALITATI NECESARE PENTRU EVALUAREA RESPECTARII CERINTELOR MENTIONATE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informatiile aferente situatiei lor.</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5C2E1F" w:rsidRDefault="007F27BD" w:rsidP="005C2E1F">
      <w:pPr>
        <w:spacing w:line="276" w:lineRule="auto"/>
        <w:rPr>
          <w:rFonts w:ascii="Times New Roman" w:hAnsi="Times New Roman" w:cs="Times New Roman"/>
        </w:rPr>
      </w:pPr>
      <w:r w:rsidRPr="007F27BD">
        <w:rPr>
          <w:rFonts w:ascii="Times New Roman" w:hAnsi="Times New Roman" w:cs="Times New Roman"/>
        </w:rPr>
        <w:t xml:space="preserve">Conf. art. 150 alin. 2 din HG 395/2016 ofertantul va prezenta denumirea subcontractantilor si datele de contact ale acestora, partea/partile din contract care urmeaza a indeplinite de catre acestia, valoarea </w:t>
      </w:r>
      <w:r w:rsidRPr="007F27BD">
        <w:rPr>
          <w:rFonts w:ascii="Times New Roman" w:hAnsi="Times New Roman" w:cs="Times New Roman"/>
        </w:rPr>
        <w:lastRenderedPageBreak/>
        <w:t>la care se ridica partea/partile respective completand aceste informatii in DUAE. Odata cu depunerea DUAE se va prezenta acordul de subcontractare. Subcontactantii nu trebuie sa se incadreze in situatiile prevazute la art. 164, 165 si 167 din Lege. - Informatiile despre acestia trebuie sa se regaseasca in DUAE. In conformitate cu art. 196 alin (2) autoritatea contractanta va solicita, inainte de atribuirea contractului de achizitie publica, ofertantului clasat pe primul loc, dupa aplicarea criteriului de atribuire sa prezinte documente justi cative actualizate prin care sa demonstreze indeplinirea tuturor criteriilor de cali care si selectie, în conformitate cu informatiile cuprinse in DUAE, asa cum sunt ele metionate mai sus.</w:t>
      </w:r>
    </w:p>
    <w:p w:rsidR="00E908FF" w:rsidRPr="005C2E1F" w:rsidRDefault="005C2E1F" w:rsidP="005C2E1F">
      <w:pPr>
        <w:pStyle w:val="ListParagraph"/>
        <w:numPr>
          <w:ilvl w:val="0"/>
          <w:numId w:val="4"/>
        </w:numPr>
        <w:spacing w:line="276" w:lineRule="auto"/>
        <w:rPr>
          <w:rFonts w:ascii="Times New Roman" w:hAnsi="Times New Roman" w:cs="Times New Roman"/>
        </w:rPr>
      </w:pPr>
      <w:r w:rsidRPr="005C2E1F">
        <w:rPr>
          <w:rFonts w:ascii="Times New Roman" w:hAnsi="Times New Roman" w:cs="Times New Roman"/>
        </w:rPr>
        <w:t>Pentru contractele de achizitie de servicii: este necesara o anumita autorizatie</w:t>
      </w:r>
    </w:p>
    <w:p w:rsidR="005C2E1F" w:rsidRDefault="005C2E1F" w:rsidP="005C2E1F">
      <w:pPr>
        <w:spacing w:line="276" w:lineRule="auto"/>
        <w:rPr>
          <w:rFonts w:ascii="Times New Roman" w:hAnsi="Times New Roman" w:cs="Times New Roman"/>
          <w:i/>
        </w:rPr>
      </w:pPr>
      <w:r w:rsidRPr="005C2E1F">
        <w:rPr>
          <w:rFonts w:ascii="Times New Roman" w:hAnsi="Times New Roman" w:cs="Times New Roman"/>
          <w:i/>
        </w:rPr>
        <w:t>INFORMATII SI FORMALITATI NECESARE PENTRU EVALUAREA RESPECTARII CERINTELOR MENTIONATE</w:t>
      </w:r>
    </w:p>
    <w:p w:rsidR="005C2E1F" w:rsidRPr="005C2E1F" w:rsidRDefault="005C2E1F"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w:t>
      </w:r>
      <w:r>
        <w:rPr>
          <w:rFonts w:ascii="Times New Roman" w:hAnsi="Times New Roman" w:cs="Times New Roman"/>
        </w:rPr>
        <w:t>matiile aferente situatiei lor.</w:t>
      </w:r>
    </w:p>
    <w:p w:rsidR="005C2E1F" w:rsidRPr="00E908FF" w:rsidRDefault="005C2E1F"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F840E7" w:rsidRDefault="005C2E1F" w:rsidP="005C2E1F">
      <w:pPr>
        <w:spacing w:line="276" w:lineRule="auto"/>
        <w:rPr>
          <w:rFonts w:ascii="Times New Roman" w:hAnsi="Times New Roman" w:cs="Times New Roman"/>
        </w:rPr>
      </w:pPr>
      <w:r w:rsidRPr="005C2E1F">
        <w:rPr>
          <w:rFonts w:ascii="Times New Roman" w:hAnsi="Times New Roman" w:cs="Times New Roman"/>
        </w:rPr>
        <w:t xml:space="preserve">Operatorul va deține licența ANRSC, conform prevederilor art. 109 din Ordinul 82/2015 privind regulamentul cadru al serviciului public de salubrizare a localităților și a art. 30, alin. 1, lit. (b) din Legea nr. 101/2006 a serviciului </w:t>
      </w:r>
      <w:r>
        <w:rPr>
          <w:rFonts w:ascii="Times New Roman" w:hAnsi="Times New Roman" w:cs="Times New Roman"/>
        </w:rPr>
        <w:t>de salubrizare a localităților.</w:t>
      </w:r>
    </w:p>
    <w:p w:rsidR="005C2E1F" w:rsidRPr="005C2E1F" w:rsidRDefault="00F840E7" w:rsidP="005C2E1F">
      <w:pPr>
        <w:spacing w:line="276" w:lineRule="auto"/>
        <w:rPr>
          <w:rFonts w:ascii="Times New Roman" w:hAnsi="Times New Roman" w:cs="Times New Roman"/>
        </w:rPr>
      </w:pPr>
      <w:r w:rsidRPr="005C2E1F">
        <w:rPr>
          <w:rFonts w:ascii="Times New Roman" w:hAnsi="Times New Roman" w:cs="Times New Roman"/>
        </w:rPr>
        <w:t xml:space="preserve"> </w:t>
      </w:r>
      <w:r w:rsidR="005C2E1F" w:rsidRPr="005C2E1F">
        <w:rPr>
          <w:rFonts w:ascii="Times New Roman" w:hAnsi="Times New Roman" w:cs="Times New Roman"/>
        </w:rPr>
        <w:t>Operatorul va asigura existența autorizațiilor necesare prevăzute de lege pentru desfășurarea activității de dezinsecție, dezinfecție şi deratizare, pe toată durata de prestare a serviciului.</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D: SISTEME DE ASIGURARE A CALITATII SI STANDARDE DE MANAGEMENT DE MEDIU</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62 alineatul (2) din Directiva 2014/24/UE stabileste urmatoarele motive de selectie</w:t>
      </w:r>
    </w:p>
    <w:sectPr w:rsidR="007F27BD" w:rsidRPr="007F27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616" w:rsidRDefault="00F61616">
      <w:pPr>
        <w:spacing w:after="0" w:line="240" w:lineRule="auto"/>
      </w:pPr>
      <w:r>
        <w:separator/>
      </w:r>
    </w:p>
  </w:endnote>
  <w:endnote w:type="continuationSeparator" w:id="0">
    <w:p w:rsidR="00F61616" w:rsidRDefault="00F61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616" w:rsidRDefault="00F61616">
      <w:pPr>
        <w:spacing w:after="0" w:line="240" w:lineRule="auto"/>
      </w:pPr>
      <w:r>
        <w:separator/>
      </w:r>
    </w:p>
  </w:footnote>
  <w:footnote w:type="continuationSeparator" w:id="0">
    <w:p w:rsidR="00F61616" w:rsidRDefault="00F616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004F"/>
    <w:multiLevelType w:val="hybridMultilevel"/>
    <w:tmpl w:val="24C0413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4"/>
        <w:szCs w:val="24"/>
        <w:u w:val="none"/>
        <w:effect w:val="none"/>
        <w:vertAlign w:val="baseline"/>
        <w:specVanish w:val="0"/>
      </w:rPr>
    </w:lvl>
    <w:lvl w:ilvl="1">
      <w:start w:val="1"/>
      <w:numFmt w:val="upperLetter"/>
      <w:pStyle w:val="Heading2"/>
      <w:lvlText w:val="%2."/>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Heading3"/>
      <w:lvlText w:val="%2.%3."/>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2"/>
        <w:szCs w:val="22"/>
        <w:u w:val="none"/>
        <w:effect w:val="none"/>
        <w:vertAlign w:val="baseline"/>
        <w:specVanish w:val="0"/>
      </w:rPr>
    </w:lvl>
    <w:lvl w:ilvl="3">
      <w:start w:val="1"/>
      <w:numFmt w:val="decimal"/>
      <w:pStyle w:val="Heading4"/>
      <w:lvlText w:val="%2.%3.%4."/>
      <w:lvlJc w:val="left"/>
      <w:pPr>
        <w:tabs>
          <w:tab w:val="num" w:pos="567"/>
        </w:tabs>
        <w:ind w:left="0" w:firstLine="0"/>
      </w:pPr>
      <w:rPr>
        <w:rFonts w:ascii="Trebuchet MS" w:hAnsi="Trebuchet MS" w:cs="Trebuchet MS" w:hint="default"/>
        <w:b w:val="0"/>
        <w:bCs w:val="0"/>
        <w:i w:val="0"/>
        <w:iCs w:val="0"/>
        <w:caps w:val="0"/>
        <w:strike w:val="0"/>
        <w:dstrike w:val="0"/>
        <w:vanish w:val="0"/>
        <w:webHidden w:val="0"/>
        <w:color w:val="auto"/>
        <w:spacing w:val="-20"/>
        <w:w w:val="100"/>
        <w:kern w:val="0"/>
        <w:position w:val="0"/>
        <w:sz w:val="22"/>
        <w:szCs w:val="22"/>
        <w:u w:val="none"/>
        <w:effect w:val="none"/>
        <w:vertAlign w:val="baseline"/>
        <w:specVanish w:val="0"/>
      </w:rPr>
    </w:lvl>
    <w:lvl w:ilvl="4">
      <w:start w:val="1"/>
      <w:numFmt w:val="decimal"/>
      <w:pStyle w:val="Heading5"/>
      <w:lvlText w:val="Art. %5."/>
      <w:lvlJc w:val="left"/>
      <w:pPr>
        <w:tabs>
          <w:tab w:val="num" w:pos="1107"/>
        </w:tabs>
        <w:ind w:left="1107" w:hanging="567"/>
      </w:pPr>
      <w:rPr>
        <w:rFonts w:cs="Times New Roman"/>
        <w:b/>
        <w:bCs/>
        <w:i w:val="0"/>
        <w:iCs w:val="0"/>
        <w:caps w:val="0"/>
        <w:smallCaps w:val="0"/>
        <w:strike w:val="0"/>
        <w:dstrike w:val="0"/>
        <w:vanish w:val="0"/>
        <w:webHidden w:val="0"/>
        <w:color w:val="000000"/>
        <w:spacing w:val="0"/>
        <w:kern w:val="0"/>
        <w:position w:val="0"/>
        <w:u w:val="none"/>
        <w:effect w:val="none"/>
        <w:vertAlign w:val="baseline"/>
        <w:specVanish w:val="0"/>
      </w:rPr>
    </w:lvl>
    <w:lvl w:ilvl="5">
      <w:start w:val="1"/>
      <w:numFmt w:val="decimal"/>
      <w:pStyle w:val="Heading6"/>
      <w:lvlText w:val="(%6)"/>
      <w:lvlJc w:val="left"/>
      <w:pPr>
        <w:tabs>
          <w:tab w:val="num" w:pos="567"/>
        </w:tabs>
        <w:ind w:left="0" w:firstLine="0"/>
      </w:pPr>
      <w:rPr>
        <w:rFonts w:ascii="Trebuchet MS" w:hAnsi="Trebuchet MS" w:cs="Trebuchet MS" w:hint="default"/>
        <w:b w:val="0"/>
        <w:bCs w:val="0"/>
        <w:i w:val="0"/>
        <w:iCs w:val="0"/>
        <w:caps w:val="0"/>
        <w:smallCaps w:val="0"/>
        <w:strike w:val="0"/>
        <w:dstrike w:val="0"/>
        <w:vanish w:val="0"/>
        <w:webHidden w:val="0"/>
        <w:color w:val="auto"/>
        <w:spacing w:val="0"/>
        <w:kern w:val="0"/>
        <w:position w:val="0"/>
        <w:sz w:val="20"/>
        <w:szCs w:val="20"/>
        <w:u w:val="none"/>
        <w:effect w:val="none"/>
        <w:vertAlign w:val="baseline"/>
        <w:specVanish w:val="0"/>
      </w:rPr>
    </w:lvl>
    <w:lvl w:ilvl="6">
      <w:start w:val="1"/>
      <w:numFmt w:val="lowerLetter"/>
      <w:pStyle w:val="Heading7"/>
      <w:lvlText w:val="%7)"/>
      <w:lvlJc w:val="left"/>
      <w:pPr>
        <w:tabs>
          <w:tab w:val="num" w:pos="568"/>
        </w:tabs>
        <w:ind w:left="1135" w:hanging="567"/>
      </w:pPr>
      <w:rPr>
        <w:rFonts w:cs="Times New Roman"/>
        <w:b w:val="0"/>
        <w:bCs w:val="0"/>
        <w:i w:val="0"/>
        <w:iCs w:val="0"/>
        <w:caps w:val="0"/>
        <w:smallCaps w:val="0"/>
        <w:strike w:val="0"/>
        <w:dstrike w:val="0"/>
        <w:vanish w:val="0"/>
        <w:webHidden w:val="0"/>
        <w:color w:val="auto"/>
        <w:spacing w:val="0"/>
        <w:kern w:val="0"/>
        <w:position w:val="0"/>
        <w:u w:val="none"/>
        <w:effect w:val="none"/>
        <w:vertAlign w:val="baseline"/>
        <w:specVanish w:val="0"/>
      </w:rPr>
    </w:lvl>
    <w:lvl w:ilvl="7">
      <w:start w:val="1"/>
      <w:numFmt w:val="none"/>
      <w:lvlText w:val=""/>
      <w:lvlJc w:val="left"/>
      <w:pPr>
        <w:tabs>
          <w:tab w:val="num" w:pos="567"/>
        </w:tabs>
        <w:ind w:left="567" w:hanging="567"/>
      </w:pPr>
      <w:rPr>
        <w:rFonts w:cs="Times New Roman"/>
      </w:rPr>
    </w:lvl>
    <w:lvl w:ilvl="8">
      <w:start w:val="1"/>
      <w:numFmt w:val="none"/>
      <w:lvlText w:val=""/>
      <w:lvlJc w:val="left"/>
      <w:pPr>
        <w:tabs>
          <w:tab w:val="num" w:pos="567"/>
        </w:tabs>
        <w:ind w:left="1134" w:hanging="567"/>
      </w:pPr>
      <w:rPr>
        <w:rFonts w:cs="Times New Roman"/>
      </w:rPr>
    </w:lvl>
  </w:abstractNum>
  <w:abstractNum w:abstractNumId="2" w15:restartNumberingAfterBreak="0">
    <w:nsid w:val="26C643A7"/>
    <w:multiLevelType w:val="hybridMultilevel"/>
    <w:tmpl w:val="65A4AEF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83E0FAF"/>
    <w:multiLevelType w:val="hybridMultilevel"/>
    <w:tmpl w:val="9A1A3B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73044A"/>
    <w:multiLevelType w:val="hybridMultilevel"/>
    <w:tmpl w:val="6D0840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7BD"/>
    <w:rsid w:val="001A5155"/>
    <w:rsid w:val="00347C17"/>
    <w:rsid w:val="003C6CBA"/>
    <w:rsid w:val="005C2E1F"/>
    <w:rsid w:val="00623A7D"/>
    <w:rsid w:val="00637382"/>
    <w:rsid w:val="0067524C"/>
    <w:rsid w:val="006B2FB8"/>
    <w:rsid w:val="007F27BD"/>
    <w:rsid w:val="00A11C3C"/>
    <w:rsid w:val="00B1778C"/>
    <w:rsid w:val="00B93920"/>
    <w:rsid w:val="00C02AD4"/>
    <w:rsid w:val="00DB35F3"/>
    <w:rsid w:val="00E908FF"/>
    <w:rsid w:val="00F61616"/>
    <w:rsid w:val="00F840E7"/>
    <w:rsid w:val="00FF6D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95206"/>
  <w15:chartTrackingRefBased/>
  <w15:docId w15:val="{B53905AA-EEC1-4A89-BB6F-5EF12D08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E1F"/>
  </w:style>
  <w:style w:type="paragraph" w:styleId="Heading1">
    <w:name w:val="heading 1"/>
    <w:basedOn w:val="Normal"/>
    <w:next w:val="Normal"/>
    <w:link w:val="Heading1Char"/>
    <w:uiPriority w:val="99"/>
    <w:qFormat/>
    <w:rsid w:val="00C02AD4"/>
    <w:pPr>
      <w:keepNext/>
      <w:numPr>
        <w:numId w:val="5"/>
      </w:numPr>
      <w:spacing w:before="360" w:after="120" w:line="280" w:lineRule="exact"/>
      <w:ind w:right="1134"/>
      <w:contextualSpacing/>
      <w:jc w:val="both"/>
      <w:outlineLvl w:val="0"/>
    </w:pPr>
    <w:rPr>
      <w:rFonts w:ascii="Trebuchet MS" w:eastAsia="Times New Roman" w:hAnsi="Trebuchet MS" w:cs="Trebuchet MS"/>
      <w:b/>
      <w:bCs/>
      <w:caps/>
      <w:kern w:val="24"/>
      <w:sz w:val="26"/>
      <w:szCs w:val="26"/>
      <w:lang w:val="en-US"/>
    </w:rPr>
  </w:style>
  <w:style w:type="paragraph" w:styleId="Heading2">
    <w:name w:val="heading 2"/>
    <w:basedOn w:val="Normal"/>
    <w:next w:val="Normal"/>
    <w:link w:val="Heading2Char"/>
    <w:uiPriority w:val="99"/>
    <w:semiHidden/>
    <w:unhideWhenUsed/>
    <w:qFormat/>
    <w:rsid w:val="00C02AD4"/>
    <w:pPr>
      <w:keepNext/>
      <w:numPr>
        <w:ilvl w:val="1"/>
        <w:numId w:val="5"/>
      </w:numPr>
      <w:spacing w:before="240" w:after="120" w:line="280" w:lineRule="exact"/>
      <w:ind w:right="1134"/>
      <w:contextualSpacing/>
      <w:jc w:val="both"/>
      <w:outlineLvl w:val="1"/>
    </w:pPr>
    <w:rPr>
      <w:rFonts w:ascii="Trebuchet MS" w:eastAsia="Times New Roman" w:hAnsi="Trebuchet MS" w:cs="Trebuchet MS"/>
      <w:b/>
      <w:bCs/>
      <w:caps/>
      <w:sz w:val="20"/>
      <w:szCs w:val="20"/>
      <w:lang w:val="en-US"/>
    </w:rPr>
  </w:style>
  <w:style w:type="paragraph" w:styleId="Heading3">
    <w:name w:val="heading 3"/>
    <w:basedOn w:val="Normal"/>
    <w:next w:val="Normal"/>
    <w:link w:val="Heading3Char"/>
    <w:uiPriority w:val="99"/>
    <w:semiHidden/>
    <w:unhideWhenUsed/>
    <w:qFormat/>
    <w:rsid w:val="00C02AD4"/>
    <w:pPr>
      <w:keepNext/>
      <w:numPr>
        <w:ilvl w:val="2"/>
        <w:numId w:val="5"/>
      </w:numPr>
      <w:spacing w:before="240" w:after="120" w:line="280" w:lineRule="exact"/>
      <w:ind w:right="1134"/>
      <w:contextualSpacing/>
      <w:jc w:val="both"/>
      <w:outlineLvl w:val="2"/>
    </w:pPr>
    <w:rPr>
      <w:rFonts w:ascii="Trebuchet MS" w:eastAsia="Times New Roman" w:hAnsi="Trebuchet MS" w:cs="Trebuchet MS"/>
      <w:b/>
      <w:bCs/>
      <w:sz w:val="20"/>
      <w:szCs w:val="20"/>
      <w:lang w:val="en-US"/>
    </w:rPr>
  </w:style>
  <w:style w:type="paragraph" w:styleId="Heading4">
    <w:name w:val="heading 4"/>
    <w:basedOn w:val="Normal"/>
    <w:next w:val="Normal"/>
    <w:link w:val="Heading4Char"/>
    <w:uiPriority w:val="99"/>
    <w:semiHidden/>
    <w:unhideWhenUsed/>
    <w:qFormat/>
    <w:rsid w:val="00C02AD4"/>
    <w:pPr>
      <w:keepNext/>
      <w:numPr>
        <w:ilvl w:val="3"/>
        <w:numId w:val="5"/>
      </w:numPr>
      <w:spacing w:before="240" w:after="120" w:line="280" w:lineRule="exact"/>
      <w:ind w:right="1134"/>
      <w:contextualSpacing/>
      <w:jc w:val="both"/>
      <w:outlineLvl w:val="3"/>
    </w:pPr>
    <w:rPr>
      <w:rFonts w:ascii="Trebuchet MS" w:eastAsia="Times New Roman" w:hAnsi="Trebuchet MS" w:cs="Trebuchet MS"/>
      <w:b/>
      <w:bCs/>
      <w:sz w:val="20"/>
      <w:szCs w:val="20"/>
      <w:lang w:val="en-US"/>
    </w:rPr>
  </w:style>
  <w:style w:type="paragraph" w:styleId="Heading5">
    <w:name w:val="heading 5"/>
    <w:basedOn w:val="Normal"/>
    <w:next w:val="Normal"/>
    <w:link w:val="Heading5Char"/>
    <w:uiPriority w:val="99"/>
    <w:semiHidden/>
    <w:unhideWhenUsed/>
    <w:qFormat/>
    <w:rsid w:val="00C02AD4"/>
    <w:pPr>
      <w:keepNext/>
      <w:numPr>
        <w:ilvl w:val="4"/>
        <w:numId w:val="5"/>
      </w:numPr>
      <w:autoSpaceDE w:val="0"/>
      <w:autoSpaceDN w:val="0"/>
      <w:adjustRightInd w:val="0"/>
      <w:spacing w:before="120" w:after="0" w:line="320" w:lineRule="exact"/>
      <w:jc w:val="both"/>
      <w:outlineLvl w:val="4"/>
    </w:pPr>
    <w:rPr>
      <w:rFonts w:ascii="Trebuchet MS" w:eastAsia="Times New Roman" w:hAnsi="Trebuchet MS" w:cs="Trebuchet MS"/>
      <w:sz w:val="20"/>
      <w:szCs w:val="20"/>
      <w:lang w:eastAsia="ro-RO"/>
    </w:rPr>
  </w:style>
  <w:style w:type="paragraph" w:styleId="Heading6">
    <w:name w:val="heading 6"/>
    <w:basedOn w:val="Normal"/>
    <w:next w:val="Normal"/>
    <w:link w:val="Heading6Char"/>
    <w:uiPriority w:val="99"/>
    <w:semiHidden/>
    <w:unhideWhenUsed/>
    <w:qFormat/>
    <w:rsid w:val="00C02AD4"/>
    <w:pPr>
      <w:numPr>
        <w:ilvl w:val="5"/>
        <w:numId w:val="5"/>
      </w:numPr>
      <w:spacing w:before="120" w:after="0" w:line="280" w:lineRule="exact"/>
      <w:ind w:right="-28"/>
      <w:jc w:val="both"/>
      <w:outlineLvl w:val="5"/>
    </w:pPr>
    <w:rPr>
      <w:rFonts w:ascii="Trebuchet MS" w:eastAsia="Times New Roman" w:hAnsi="Trebuchet MS" w:cs="Trebuchet MS"/>
      <w:sz w:val="20"/>
      <w:szCs w:val="20"/>
    </w:rPr>
  </w:style>
  <w:style w:type="paragraph" w:styleId="Heading7">
    <w:name w:val="heading 7"/>
    <w:basedOn w:val="Normal"/>
    <w:next w:val="Normal"/>
    <w:link w:val="Heading7Char"/>
    <w:uiPriority w:val="99"/>
    <w:semiHidden/>
    <w:unhideWhenUsed/>
    <w:qFormat/>
    <w:rsid w:val="00C02AD4"/>
    <w:pPr>
      <w:numPr>
        <w:ilvl w:val="6"/>
        <w:numId w:val="5"/>
      </w:numPr>
      <w:autoSpaceDE w:val="0"/>
      <w:autoSpaceDN w:val="0"/>
      <w:adjustRightInd w:val="0"/>
      <w:spacing w:before="120" w:after="0" w:line="280" w:lineRule="exact"/>
      <w:contextualSpacing/>
      <w:jc w:val="both"/>
      <w:outlineLvl w:val="6"/>
    </w:pPr>
    <w:rPr>
      <w:rFonts w:ascii="Trebuchet MS" w:eastAsia="Calibri" w:hAnsi="Trebuchet MS" w:cs="Trebuchet M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8FF"/>
    <w:pPr>
      <w:ind w:left="720"/>
      <w:contextualSpacing/>
    </w:pPr>
  </w:style>
  <w:style w:type="character" w:customStyle="1" w:styleId="Heading1Char">
    <w:name w:val="Heading 1 Char"/>
    <w:basedOn w:val="DefaultParagraphFont"/>
    <w:link w:val="Heading1"/>
    <w:uiPriority w:val="99"/>
    <w:rsid w:val="00C02AD4"/>
    <w:rPr>
      <w:rFonts w:ascii="Trebuchet MS" w:eastAsia="Times New Roman" w:hAnsi="Trebuchet MS" w:cs="Trebuchet MS"/>
      <w:b/>
      <w:bCs/>
      <w:caps/>
      <w:kern w:val="24"/>
      <w:sz w:val="26"/>
      <w:szCs w:val="26"/>
      <w:lang w:val="en-US"/>
    </w:rPr>
  </w:style>
  <w:style w:type="character" w:customStyle="1" w:styleId="Heading2Char">
    <w:name w:val="Heading 2 Char"/>
    <w:basedOn w:val="DefaultParagraphFont"/>
    <w:link w:val="Heading2"/>
    <w:uiPriority w:val="99"/>
    <w:semiHidden/>
    <w:rsid w:val="00C02AD4"/>
    <w:rPr>
      <w:rFonts w:ascii="Trebuchet MS" w:eastAsia="Times New Roman" w:hAnsi="Trebuchet MS" w:cs="Trebuchet MS"/>
      <w:b/>
      <w:bCs/>
      <w:caps/>
      <w:sz w:val="20"/>
      <w:szCs w:val="20"/>
      <w:lang w:val="en-US"/>
    </w:rPr>
  </w:style>
  <w:style w:type="character" w:customStyle="1" w:styleId="Heading3Char">
    <w:name w:val="Heading 3 Char"/>
    <w:basedOn w:val="DefaultParagraphFont"/>
    <w:link w:val="Heading3"/>
    <w:uiPriority w:val="99"/>
    <w:semiHidden/>
    <w:rsid w:val="00C02AD4"/>
    <w:rPr>
      <w:rFonts w:ascii="Trebuchet MS" w:eastAsia="Times New Roman" w:hAnsi="Trebuchet MS" w:cs="Trebuchet MS"/>
      <w:b/>
      <w:bCs/>
      <w:sz w:val="20"/>
      <w:szCs w:val="20"/>
      <w:lang w:val="en-US"/>
    </w:rPr>
  </w:style>
  <w:style w:type="character" w:customStyle="1" w:styleId="Heading4Char">
    <w:name w:val="Heading 4 Char"/>
    <w:basedOn w:val="DefaultParagraphFont"/>
    <w:link w:val="Heading4"/>
    <w:uiPriority w:val="99"/>
    <w:semiHidden/>
    <w:rsid w:val="00C02AD4"/>
    <w:rPr>
      <w:rFonts w:ascii="Trebuchet MS" w:eastAsia="Times New Roman" w:hAnsi="Trebuchet MS" w:cs="Trebuchet MS"/>
      <w:b/>
      <w:bCs/>
      <w:sz w:val="20"/>
      <w:szCs w:val="20"/>
      <w:lang w:val="en-US"/>
    </w:rPr>
  </w:style>
  <w:style w:type="character" w:customStyle="1" w:styleId="Heading5Char">
    <w:name w:val="Heading 5 Char"/>
    <w:basedOn w:val="DefaultParagraphFont"/>
    <w:link w:val="Heading5"/>
    <w:uiPriority w:val="99"/>
    <w:semiHidden/>
    <w:rsid w:val="00C02AD4"/>
    <w:rPr>
      <w:rFonts w:ascii="Trebuchet MS" w:eastAsia="Times New Roman" w:hAnsi="Trebuchet MS" w:cs="Trebuchet MS"/>
      <w:sz w:val="20"/>
      <w:szCs w:val="20"/>
      <w:lang w:eastAsia="ro-RO"/>
    </w:rPr>
  </w:style>
  <w:style w:type="character" w:customStyle="1" w:styleId="Heading6Char">
    <w:name w:val="Heading 6 Char"/>
    <w:basedOn w:val="DefaultParagraphFont"/>
    <w:link w:val="Heading6"/>
    <w:uiPriority w:val="99"/>
    <w:semiHidden/>
    <w:rsid w:val="00C02AD4"/>
    <w:rPr>
      <w:rFonts w:ascii="Trebuchet MS" w:eastAsia="Times New Roman" w:hAnsi="Trebuchet MS" w:cs="Trebuchet MS"/>
      <w:sz w:val="20"/>
      <w:szCs w:val="20"/>
    </w:rPr>
  </w:style>
  <w:style w:type="character" w:customStyle="1" w:styleId="Heading7Char">
    <w:name w:val="Heading 7 Char"/>
    <w:basedOn w:val="DefaultParagraphFont"/>
    <w:link w:val="Heading7"/>
    <w:uiPriority w:val="99"/>
    <w:semiHidden/>
    <w:rsid w:val="00C02AD4"/>
    <w:rPr>
      <w:rFonts w:ascii="Trebuchet MS" w:eastAsia="Calibri" w:hAnsi="Trebuchet MS" w:cs="Trebuchet MS"/>
      <w:sz w:val="20"/>
      <w:szCs w:val="20"/>
      <w:lang w:eastAsia="ro-RO"/>
    </w:rPr>
  </w:style>
  <w:style w:type="paragraph" w:styleId="BalloonText">
    <w:name w:val="Balloon Text"/>
    <w:basedOn w:val="Normal"/>
    <w:link w:val="BalloonTextChar"/>
    <w:uiPriority w:val="99"/>
    <w:semiHidden/>
    <w:unhideWhenUsed/>
    <w:rsid w:val="00C02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A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51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817</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Joco</dc:creator>
  <cp:keywords/>
  <dc:description/>
  <cp:lastModifiedBy>Tunde</cp:lastModifiedBy>
  <cp:revision>8</cp:revision>
  <cp:lastPrinted>2023-05-10T06:19:00Z</cp:lastPrinted>
  <dcterms:created xsi:type="dcterms:W3CDTF">2022-04-19T06:40:00Z</dcterms:created>
  <dcterms:modified xsi:type="dcterms:W3CDTF">2023-05-10T06:22:00Z</dcterms:modified>
</cp:coreProperties>
</file>