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C84AB" w14:textId="2990AE86" w:rsidR="00E21541" w:rsidRPr="003A51F2" w:rsidRDefault="00E21541" w:rsidP="00E21541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DEZVOLTARE, PROIECTE</w:t>
      </w:r>
    </w:p>
    <w:p w14:paraId="32238577" w14:textId="0C9BB6BA" w:rsidR="00665029" w:rsidRPr="003A51F2" w:rsidRDefault="00665029" w:rsidP="00866B87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b/>
          <w:sz w:val="24"/>
          <w:szCs w:val="24"/>
          <w:lang w:val="ro-RO"/>
        </w:rPr>
        <w:t>COMPARTIMENTUL INVESTIȚII</w:t>
      </w:r>
    </w:p>
    <w:p w14:paraId="1B42A37C" w14:textId="3A1EABCE" w:rsidR="00EC690F" w:rsidRPr="003A51F2" w:rsidRDefault="00247B83" w:rsidP="00793B4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3A51F2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Nr</w:t>
      </w:r>
      <w:r w:rsidR="003B4D15" w:rsidRPr="003A51F2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. </w:t>
      </w:r>
      <w:r w:rsidR="00D42C94" w:rsidRPr="003A51F2">
        <w:rPr>
          <w:rFonts w:ascii="Times New Roman" w:hAnsi="Times New Roman" w:cs="Times New Roman"/>
          <w:sz w:val="24"/>
          <w:szCs w:val="24"/>
          <w:lang w:eastAsia="en-GB"/>
        </w:rPr>
        <w:t>29791/18.05.2023</w:t>
      </w:r>
    </w:p>
    <w:p w14:paraId="49D0A1CB" w14:textId="77777777" w:rsidR="007E0E21" w:rsidRPr="003A51F2" w:rsidRDefault="007E0E21" w:rsidP="00866B87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</w:p>
    <w:p w14:paraId="281E25C5" w14:textId="77777777" w:rsidR="000A2953" w:rsidRPr="003A51F2" w:rsidRDefault="000A2953" w:rsidP="00866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0C30F4" w14:textId="77777777" w:rsidR="00676927" w:rsidRPr="003A51F2" w:rsidRDefault="004504F9" w:rsidP="00866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RAPORT DE SPECIALITATE</w:t>
      </w:r>
    </w:p>
    <w:p w14:paraId="06E6F449" w14:textId="77777777" w:rsidR="00D42C94" w:rsidRPr="003A51F2" w:rsidRDefault="00D42C94" w:rsidP="00D42C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o-RO"/>
        </w:rPr>
      </w:pPr>
      <w:proofErr w:type="spellStart"/>
      <w:proofErr w:type="gramStart"/>
      <w:r w:rsidRPr="003A51F2">
        <w:rPr>
          <w:rFonts w:ascii="Times New Roman" w:hAnsi="Times New Roman" w:cs="Times New Roman"/>
          <w:sz w:val="24"/>
          <w:szCs w:val="24"/>
          <w:lang w:eastAsia="ro-RO"/>
        </w:rPr>
        <w:t>privind</w:t>
      </w:r>
      <w:proofErr w:type="spellEnd"/>
      <w:proofErr w:type="gramEnd"/>
      <w:r w:rsidRPr="003A51F2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ro-RO"/>
        </w:rPr>
        <w:t>aprobarea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 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Strategiei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locale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în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domeniul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eficienței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energetice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, de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reducere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consumului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energie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și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a </w:t>
      </w:r>
      <w:proofErr w:type="spellStart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>emisiei</w:t>
      </w:r>
      <w:proofErr w:type="spellEnd"/>
      <w:r w:rsidRPr="003A51F2">
        <w:rPr>
          <w:rFonts w:ascii="Times New Roman" w:hAnsi="Times New Roman" w:cs="Times New Roman"/>
          <w:b/>
          <w:bCs/>
          <w:sz w:val="24"/>
          <w:szCs w:val="24"/>
          <w:lang w:eastAsia="ro-RO"/>
        </w:rPr>
        <w:t xml:space="preserve"> de CO2</w:t>
      </w:r>
      <w:r w:rsidRPr="003A51F2">
        <w:rPr>
          <w:rFonts w:ascii="Times New Roman" w:hAnsi="Times New Roman" w:cs="Times New Roman"/>
          <w:sz w:val="24"/>
          <w:szCs w:val="24"/>
          <w:lang w:eastAsia="ro-RO"/>
        </w:rPr>
        <w:t xml:space="preserve"> din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ro-RO"/>
        </w:rPr>
        <w:t>municipiul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ro-RO"/>
        </w:rPr>
        <w:t>Sfântu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ro-RO"/>
        </w:rPr>
        <w:t xml:space="preserve"> Gheorghe,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ro-RO"/>
        </w:rPr>
        <w:t>județul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ro-RO"/>
        </w:rPr>
        <w:t xml:space="preserve"> Covasna</w:t>
      </w:r>
    </w:p>
    <w:p w14:paraId="1CA5DED6" w14:textId="77777777" w:rsidR="003E6217" w:rsidRPr="003A51F2" w:rsidRDefault="003E6217" w:rsidP="00660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28965627" w14:textId="192CC361" w:rsidR="00805A80" w:rsidRPr="003A51F2" w:rsidRDefault="006514AF" w:rsidP="00866B87">
      <w:pPr>
        <w:pStyle w:val="NoSpacing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b/>
          <w:sz w:val="24"/>
          <w:szCs w:val="24"/>
          <w:lang w:val="ro-RO"/>
        </w:rPr>
        <w:t xml:space="preserve">Fundamentarea necesității </w:t>
      </w:r>
      <w:r w:rsidR="002141D8" w:rsidRPr="003A51F2">
        <w:rPr>
          <w:rFonts w:ascii="Times New Roman" w:hAnsi="Times New Roman" w:cs="Times New Roman"/>
          <w:b/>
          <w:sz w:val="24"/>
          <w:szCs w:val="24"/>
          <w:lang w:val="ro-RO"/>
        </w:rPr>
        <w:t>și</w:t>
      </w:r>
      <w:r w:rsidRPr="003A51F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oportunității </w:t>
      </w:r>
    </w:p>
    <w:p w14:paraId="36AB8406" w14:textId="31C7D888" w:rsidR="000F4E21" w:rsidRPr="003A51F2" w:rsidRDefault="000F4E21" w:rsidP="000F4E21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14:paraId="7AC39450" w14:textId="053C149F" w:rsidR="003A503F" w:rsidRDefault="003A51F2" w:rsidP="00866B8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3A51F2">
        <w:rPr>
          <w:rFonts w:ascii="Times New Roman" w:hAnsi="Times New Roman" w:cs="Times New Roman"/>
        </w:rPr>
        <w:t>Strategia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energetică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rezultat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prin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Contract</w:t>
      </w:r>
      <w:r>
        <w:rPr>
          <w:rFonts w:ascii="Times New Roman" w:hAnsi="Times New Roman" w:cs="Times New Roman"/>
        </w:rPr>
        <w:t>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derulat</w:t>
      </w:r>
      <w:proofErr w:type="spellEnd"/>
      <w:r>
        <w:rPr>
          <w:rFonts w:ascii="Times New Roman" w:hAnsi="Times New Roman" w:cs="Times New Roman"/>
        </w:rPr>
        <w:t xml:space="preserve"> </w:t>
      </w:r>
      <w:r w:rsidRPr="003A51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necesită</w:t>
      </w:r>
      <w:proofErr w:type="spellEnd"/>
      <w:r>
        <w:rPr>
          <w:rFonts w:ascii="Times New Roman" w:hAnsi="Times New Roman" w:cs="Times New Roman"/>
        </w:rPr>
        <w:t xml:space="preserve"> a</w:t>
      </w:r>
      <w:r w:rsidRPr="003A51F2">
        <w:rPr>
          <w:rFonts w:ascii="Times New Roman" w:hAnsi="Times New Roman" w:cs="Times New Roman"/>
        </w:rPr>
        <w:t xml:space="preserve"> fi </w:t>
      </w:r>
      <w:proofErr w:type="spellStart"/>
      <w:r w:rsidRPr="003A51F2">
        <w:rPr>
          <w:rFonts w:ascii="Times New Roman" w:hAnsi="Times New Roman" w:cs="Times New Roman"/>
        </w:rPr>
        <w:t>aprobat</w:t>
      </w:r>
      <w:proofErr w:type="spellEnd"/>
      <w:r w:rsidRPr="003A51F2">
        <w:rPr>
          <w:rFonts w:ascii="Times New Roman" w:hAnsi="Times New Roman" w:cs="Times New Roman"/>
        </w:rPr>
        <w:t xml:space="preserve"> de </w:t>
      </w:r>
      <w:proofErr w:type="spellStart"/>
      <w:r w:rsidRPr="003A51F2">
        <w:rPr>
          <w:rFonts w:ascii="Times New Roman" w:hAnsi="Times New Roman" w:cs="Times New Roman"/>
        </w:rPr>
        <w:t>către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Consiliului</w:t>
      </w:r>
      <w:proofErr w:type="spellEnd"/>
      <w:r w:rsidRPr="003A51F2">
        <w:rPr>
          <w:rFonts w:ascii="Times New Roman" w:hAnsi="Times New Roman" w:cs="Times New Roman"/>
        </w:rPr>
        <w:t xml:space="preserve"> Local, </w:t>
      </w:r>
      <w:proofErr w:type="spellStart"/>
      <w:r w:rsidRPr="003A51F2">
        <w:rPr>
          <w:rFonts w:ascii="Times New Roman" w:hAnsi="Times New Roman" w:cs="Times New Roman"/>
        </w:rPr>
        <w:t>prin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hotărâre</w:t>
      </w:r>
      <w:proofErr w:type="spellEnd"/>
      <w:r w:rsidRPr="003A51F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înainte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recepția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finală</w:t>
      </w:r>
      <w:proofErr w:type="spellEnd"/>
      <w:r>
        <w:rPr>
          <w:rFonts w:ascii="Times New Roman" w:hAnsi="Times New Roman" w:cs="Times New Roman"/>
        </w:rPr>
        <w:t xml:space="preserve"> -,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și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va</w:t>
      </w:r>
      <w:proofErr w:type="spellEnd"/>
      <w:r w:rsidRPr="003A51F2">
        <w:rPr>
          <w:rFonts w:ascii="Times New Roman" w:hAnsi="Times New Roman" w:cs="Times New Roman"/>
        </w:rPr>
        <w:t xml:space="preserve"> fi un document care </w:t>
      </w:r>
      <w:proofErr w:type="spellStart"/>
      <w:r w:rsidRPr="003A51F2">
        <w:rPr>
          <w:rFonts w:ascii="Times New Roman" w:hAnsi="Times New Roman" w:cs="Times New Roman"/>
        </w:rPr>
        <w:t>va</w:t>
      </w:r>
      <w:proofErr w:type="spellEnd"/>
      <w:r w:rsidRPr="003A51F2">
        <w:rPr>
          <w:rFonts w:ascii="Times New Roman" w:hAnsi="Times New Roman" w:cs="Times New Roman"/>
        </w:rPr>
        <w:t xml:space="preserve"> fi </w:t>
      </w:r>
      <w:proofErr w:type="spellStart"/>
      <w:r w:rsidRPr="003A51F2">
        <w:rPr>
          <w:rFonts w:ascii="Times New Roman" w:hAnsi="Times New Roman" w:cs="Times New Roman"/>
        </w:rPr>
        <w:t>utilizat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în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accesarea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fondurilor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europene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pentru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eficiență</w:t>
      </w:r>
      <w:proofErr w:type="spellEnd"/>
      <w:r w:rsidRPr="003A51F2">
        <w:rPr>
          <w:rFonts w:ascii="Times New Roman" w:hAnsi="Times New Roman" w:cs="Times New Roman"/>
        </w:rPr>
        <w:t xml:space="preserve"> </w:t>
      </w:r>
      <w:proofErr w:type="spellStart"/>
      <w:r w:rsidRPr="003A51F2">
        <w:rPr>
          <w:rFonts w:ascii="Times New Roman" w:hAnsi="Times New Roman" w:cs="Times New Roman"/>
        </w:rPr>
        <w:t>energetică</w:t>
      </w:r>
      <w:proofErr w:type="spellEnd"/>
    </w:p>
    <w:p w14:paraId="53C3A0C0" w14:textId="77777777" w:rsidR="003A51F2" w:rsidRPr="003A51F2" w:rsidRDefault="003A51F2" w:rsidP="00866B87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</w:p>
    <w:p w14:paraId="63D7C955" w14:textId="236756D7" w:rsidR="003A51F2" w:rsidRPr="003A51F2" w:rsidRDefault="003A51F2" w:rsidP="003A51F2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  <w:r>
        <w:rPr>
          <w:rFonts w:ascii="Times New Roman" w:eastAsia="TimesNewRoman" w:hAnsi="Times New Roman" w:cs="Times New Roman"/>
          <w:b/>
          <w:color w:val="auto"/>
          <w:lang w:val="ro-RO"/>
        </w:rPr>
        <w:t>Obiective</w:t>
      </w:r>
      <w:r>
        <w:rPr>
          <w:rFonts w:ascii="Times New Roman" w:eastAsia="TimesNewRoman" w:hAnsi="Times New Roman" w:cs="Times New Roman"/>
          <w:b/>
          <w:color w:val="auto"/>
          <w:lang w:val="ro-RO"/>
        </w:rPr>
        <w:t xml:space="preserve"> generale</w:t>
      </w:r>
    </w:p>
    <w:p w14:paraId="71C3FA96" w14:textId="06124ACD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general al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derulat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achiziționarea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locale al UAT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CO2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2022-2030,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:</w:t>
      </w:r>
    </w:p>
    <w:p w14:paraId="06714F78" w14:textId="1F64A94B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încălzirea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locuinţe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are ca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efecte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costurilor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întreţinere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încălzirea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4402758D" w14:textId="129DF9F6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Diminuarea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schimbărilor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climatice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gaze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efect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seră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2D647C96" w14:textId="606E5E7B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Creşterea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independenţei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combustibil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prepararea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agentului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termic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încălzire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30C6295" w14:textId="6F610F28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Ameliorarea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aspectului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urbanistic al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localităţii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0D2EAAAD" w14:textId="0F3908FA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Susţinerea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creşterii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contracararea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negative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criza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internaţională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actuală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sectorului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energetic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construcţiilor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naţionale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52565955" w14:textId="77D7A146" w:rsidR="003A51F2" w:rsidRPr="003A51F2" w:rsidRDefault="003A51F2" w:rsidP="003A51F2">
      <w:pPr>
        <w:pStyle w:val="ListParagraph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Scăderea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costurilor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întreținere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; o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bună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sănătate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locatarilor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vizați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,</w:t>
      </w:r>
    </w:p>
    <w:p w14:paraId="55AE0256" w14:textId="58C7A633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Economii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anuale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măsurile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0F9C8073" w14:textId="7389C18C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Creșterea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condițiilor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confort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interior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01F88224" w14:textId="68918F1D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Îmbunătățirea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calității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energetic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determină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scăderea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primară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35A541B2" w14:textId="41D32C54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CO2 generate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determinat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eficientă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diversificarea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surselor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;</w:t>
      </w:r>
    </w:p>
    <w:p w14:paraId="6853B2A5" w14:textId="4E7B3485" w:rsid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Transparentizare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informarea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motivarea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locuitorilor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proprietari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51F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factorii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decizie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stadiu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program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reabilitare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termică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358E97E6" w14:textId="77777777" w:rsidR="003A51F2" w:rsidRPr="003A51F2" w:rsidRDefault="003A51F2" w:rsidP="003A51F2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b/>
          <w:sz w:val="24"/>
          <w:szCs w:val="24"/>
        </w:rPr>
        <w:t>Obiective</w:t>
      </w:r>
      <w:proofErr w:type="spellEnd"/>
      <w:r w:rsidRPr="003A51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sz w:val="24"/>
          <w:szCs w:val="24"/>
        </w:rPr>
        <w:t>specifice</w:t>
      </w:r>
      <w:proofErr w:type="spellEnd"/>
      <w:r w:rsidRPr="003A51F2">
        <w:rPr>
          <w:rFonts w:ascii="Times New Roman" w:hAnsi="Times New Roman" w:cs="Times New Roman"/>
          <w:b/>
          <w:sz w:val="24"/>
          <w:szCs w:val="24"/>
        </w:rPr>
        <w:t>:</w:t>
      </w:r>
    </w:p>
    <w:p w14:paraId="3A66311D" w14:textId="77777777" w:rsidR="003A51F2" w:rsidRPr="003A51F2" w:rsidRDefault="003A51F2" w:rsidP="003A51F2">
      <w:pPr>
        <w:pStyle w:val="alfejezet"/>
        <w:numPr>
          <w:ilvl w:val="0"/>
          <w:numId w:val="41"/>
        </w:numPr>
        <w:spacing w:before="0" w:after="0" w:line="240" w:lineRule="auto"/>
        <w:rPr>
          <w:b w:val="0"/>
          <w:color w:val="auto"/>
          <w:u w:val="none"/>
        </w:rPr>
      </w:pPr>
      <w:r w:rsidRPr="003A51F2">
        <w:rPr>
          <w:b w:val="0"/>
          <w:color w:val="auto"/>
          <w:u w:val="none"/>
        </w:rPr>
        <w:t>obținerea vizibilității tehnice clare către un stoc de clădiri – inclusiv cele tip blocuri de locuințe -cu emisii scăzute/cu emisii zero până în 2030, susținut de foi de parcurs locale pentru decarbonizarea clădirilor,</w:t>
      </w:r>
    </w:p>
    <w:p w14:paraId="7D770836" w14:textId="77777777" w:rsidR="003A51F2" w:rsidRPr="003A51F2" w:rsidRDefault="003A51F2" w:rsidP="003A51F2">
      <w:pPr>
        <w:pStyle w:val="alfejezet"/>
        <w:numPr>
          <w:ilvl w:val="0"/>
          <w:numId w:val="41"/>
        </w:numPr>
        <w:spacing w:before="0" w:after="0" w:line="240" w:lineRule="auto"/>
        <w:jc w:val="left"/>
        <w:rPr>
          <w:b w:val="0"/>
          <w:color w:val="auto"/>
          <w:u w:val="none"/>
        </w:rPr>
      </w:pPr>
      <w:r w:rsidRPr="003A51F2">
        <w:rPr>
          <w:b w:val="0"/>
          <w:color w:val="auto"/>
          <w:u w:val="none"/>
        </w:rPr>
        <w:t>reducerea consumului de energie prin utilizarea eficientă a energiei în toate tipurile de activitate umană,</w:t>
      </w:r>
    </w:p>
    <w:p w14:paraId="5A830849" w14:textId="77777777" w:rsidR="003A51F2" w:rsidRPr="003A51F2" w:rsidRDefault="003A51F2" w:rsidP="003A51F2">
      <w:pPr>
        <w:pStyle w:val="alfejezet"/>
        <w:numPr>
          <w:ilvl w:val="0"/>
          <w:numId w:val="41"/>
        </w:numPr>
        <w:spacing w:before="0" w:after="0" w:line="240" w:lineRule="auto"/>
        <w:jc w:val="left"/>
        <w:rPr>
          <w:b w:val="0"/>
          <w:color w:val="auto"/>
          <w:u w:val="none"/>
        </w:rPr>
      </w:pPr>
      <w:r w:rsidRPr="003A51F2">
        <w:rPr>
          <w:b w:val="0"/>
          <w:color w:val="auto"/>
          <w:u w:val="none"/>
        </w:rPr>
        <w:lastRenderedPageBreak/>
        <w:t>promovarea sistematică a unui management energetic la nivelul autorității publice</w:t>
      </w:r>
    </w:p>
    <w:p w14:paraId="6FE1BE58" w14:textId="77777777" w:rsidR="003A51F2" w:rsidRPr="003A51F2" w:rsidRDefault="003A51F2" w:rsidP="003A51F2">
      <w:pPr>
        <w:pStyle w:val="alfejezet"/>
        <w:numPr>
          <w:ilvl w:val="0"/>
          <w:numId w:val="41"/>
        </w:numPr>
        <w:spacing w:before="0" w:after="0" w:line="240" w:lineRule="auto"/>
        <w:jc w:val="left"/>
        <w:rPr>
          <w:b w:val="0"/>
          <w:color w:val="auto"/>
          <w:u w:val="none"/>
        </w:rPr>
      </w:pPr>
      <w:r w:rsidRPr="003A51F2">
        <w:rPr>
          <w:b w:val="0"/>
          <w:color w:val="auto"/>
          <w:u w:val="none"/>
        </w:rPr>
        <w:t>producerea energiei din surse regenerabile, acolo unde este identificat potențialul,</w:t>
      </w:r>
    </w:p>
    <w:p w14:paraId="42503067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încurajarea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tehnologiilor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informației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comunicațiilor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(TIC)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tehnologiilor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inteligente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funcționarea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eficientă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exemplu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introducerea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sistemelor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automatizare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control,</w:t>
      </w:r>
    </w:p>
    <w:p w14:paraId="195DB1C4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sprijinirea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lansării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mobilitate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,</w:t>
      </w:r>
    </w:p>
    <w:p w14:paraId="3A797795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A51F2">
        <w:rPr>
          <w:rFonts w:ascii="Times New Roman" w:hAnsi="Times New Roman" w:cs="Times New Roman"/>
          <w:sz w:val="24"/>
          <w:szCs w:val="24"/>
        </w:rPr>
        <w:t>introducerea</w:t>
      </w:r>
      <w:proofErr w:type="spellEnd"/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„indicator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pregătire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inteligentă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”, care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măsura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capacitatea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utiliza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noile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tehnologii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sisteme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electronice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se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adapta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nevoilor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consumatorului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optimiza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funcționarea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interacționa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rețeaua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60ED5EA0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integrarea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consolidarea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substanțială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renovare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termen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lung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,</w:t>
      </w:r>
    </w:p>
    <w:p w14:paraId="0D54159E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A51F2">
        <w:rPr>
          <w:rFonts w:ascii="Times New Roman" w:hAnsi="Times New Roman" w:cs="Times New Roman"/>
          <w:sz w:val="24"/>
          <w:szCs w:val="24"/>
        </w:rPr>
        <w:t>combaterea</w:t>
      </w:r>
      <w:proofErr w:type="spellEnd"/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sărăciei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facturii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casnic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renovarea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vechi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679AB7EB" w14:textId="77777777" w:rsidR="003A51F2" w:rsidRPr="003A51F2" w:rsidRDefault="003A51F2" w:rsidP="003A51F2">
      <w:pPr>
        <w:pStyle w:val="ListParagraph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</w:p>
    <w:p w14:paraId="129B12A2" w14:textId="78790275" w:rsidR="006514AF" w:rsidRPr="003A51F2" w:rsidRDefault="002141D8" w:rsidP="00866B87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  <w:r w:rsidRPr="003A51F2">
        <w:rPr>
          <w:rFonts w:ascii="Times New Roman" w:eastAsia="TimesNewRoman" w:hAnsi="Times New Roman" w:cs="Times New Roman"/>
          <w:b/>
          <w:color w:val="auto"/>
          <w:lang w:val="ro-RO"/>
        </w:rPr>
        <w:t>Situația</w:t>
      </w:r>
      <w:r w:rsidR="006514AF" w:rsidRPr="003A51F2">
        <w:rPr>
          <w:rFonts w:ascii="Times New Roman" w:eastAsia="TimesNewRoman" w:hAnsi="Times New Roman" w:cs="Times New Roman"/>
          <w:b/>
          <w:color w:val="auto"/>
          <w:lang w:val="ro-RO"/>
        </w:rPr>
        <w:t xml:space="preserve"> existentă</w:t>
      </w:r>
    </w:p>
    <w:p w14:paraId="667F076F" w14:textId="119049BC" w:rsidR="00D42C94" w:rsidRPr="003A51F2" w:rsidRDefault="00D42C94" w:rsidP="00D42C94">
      <w:pPr>
        <w:pStyle w:val="HTMLPreformatted"/>
        <w:jc w:val="both"/>
        <w:rPr>
          <w:rFonts w:ascii="Times New Roman" w:hAnsi="Times New Roman" w:cs="Times New Roman"/>
          <w:lang w:val="ro-RO"/>
        </w:rPr>
      </w:pPr>
      <w:r w:rsidRPr="003A51F2">
        <w:rPr>
          <w:rFonts w:ascii="Times New Roman" w:hAnsi="Times New Roman" w:cs="Times New Roman"/>
          <w:lang w:val="ro-RO"/>
        </w:rPr>
        <w:t>Municipiul Sfântu Gheorghe derulează investiții sub contracte de finanțare prin Programul Operațional Regional (P.O.R.) Axa prioritară 3: Sprijinirea tranziției către o economie cu emisii scăzute de carbon, Prioritatea de investiții 3.1 Sprijinirea eficienței energetice, a gestionării inteligente a energiei și a utilizării energiei din surse regenerabile în infrastructurile publice, inclusiv în clădirile publice, și în sectorul locuințelor, Operațiunea A - Clădiri r</w:t>
      </w:r>
      <w:r w:rsidR="003A51F2">
        <w:rPr>
          <w:rFonts w:ascii="Times New Roman" w:hAnsi="Times New Roman" w:cs="Times New Roman"/>
          <w:lang w:val="ro-RO"/>
        </w:rPr>
        <w:t>ezidențiale și prin buget local, PNRR, precum și altele ce urmează a fi implementate în intervalul strategiei.</w:t>
      </w:r>
    </w:p>
    <w:p w14:paraId="324D157A" w14:textId="77777777" w:rsidR="00D42C94" w:rsidRPr="003A51F2" w:rsidRDefault="00D42C94" w:rsidP="00D42C94">
      <w:pPr>
        <w:pStyle w:val="HTMLPreformatted"/>
        <w:jc w:val="both"/>
        <w:rPr>
          <w:rFonts w:ascii="Times New Roman" w:hAnsi="Times New Roman" w:cs="Times New Roman"/>
          <w:lang w:val="ro-RO"/>
        </w:rPr>
      </w:pPr>
    </w:p>
    <w:p w14:paraId="523DAF3A" w14:textId="77777777" w:rsidR="00D42C94" w:rsidRPr="003A51F2" w:rsidRDefault="00D42C94" w:rsidP="00D42C94">
      <w:pPr>
        <w:pStyle w:val="HTMLPreformatted"/>
        <w:jc w:val="both"/>
        <w:rPr>
          <w:rFonts w:ascii="Times New Roman" w:hAnsi="Times New Roman" w:cs="Times New Roman"/>
          <w:lang w:val="ro-RO"/>
        </w:rPr>
      </w:pPr>
      <w:r w:rsidRPr="003A51F2">
        <w:rPr>
          <w:rFonts w:ascii="Times New Roman" w:hAnsi="Times New Roman" w:cs="Times New Roman"/>
          <w:lang w:val="ro-RO"/>
        </w:rPr>
        <w:t>Se dorește ca strategia rezultată să integreze situația actuală locală și să fie conform legislației românești care transpune directivele europene actuale în domeniu.</w:t>
      </w:r>
    </w:p>
    <w:p w14:paraId="55603285" w14:textId="16C4600F" w:rsidR="00D42C94" w:rsidRDefault="00D42C94" w:rsidP="00866B87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</w:p>
    <w:p w14:paraId="498F1987" w14:textId="77777777" w:rsidR="003A51F2" w:rsidRPr="003A51F2" w:rsidRDefault="003A51F2" w:rsidP="003A51F2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  <w:r w:rsidRPr="003A51F2">
        <w:rPr>
          <w:rFonts w:ascii="Times New Roman" w:eastAsia="TimesNewRoman" w:hAnsi="Times New Roman" w:cs="Times New Roman"/>
          <w:b/>
          <w:color w:val="auto"/>
          <w:lang w:val="ro-RO"/>
        </w:rPr>
        <w:t>Situația proiectată:</w:t>
      </w:r>
    </w:p>
    <w:p w14:paraId="11D3217E" w14:textId="77777777" w:rsidR="003A51F2" w:rsidRPr="003A51F2" w:rsidRDefault="003A51F2" w:rsidP="003A51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55BF591" w14:textId="290AA2B9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energetica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întocmi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politicilor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eficienta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programele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locale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întocmirea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audituri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domeniile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50849122" w14:textId="3F2B07B8" w:rsidR="00D42C94" w:rsidRPr="003A51F2" w:rsidRDefault="003A51F2" w:rsidP="00D42C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elaborat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consultantul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Modelul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întocmirea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localităților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cu o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populație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mare de 5000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locuitori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Decizi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ANRE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. 7/DEE/12.02.2015,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A51F2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categoria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clădiri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rezidențiale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locuințe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0FCC14DC" w14:textId="2B6CD40B" w:rsidR="00D42C94" w:rsidRPr="003A51F2" w:rsidRDefault="00D42C94" w:rsidP="00D42C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elaborării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51F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CO2 (2021-2030)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Gheorghe </w:t>
      </w:r>
      <w:r w:rsidR="003A51F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A51F2">
        <w:rPr>
          <w:rFonts w:ascii="Times New Roman" w:hAnsi="Times New Roman" w:cs="Times New Roman"/>
          <w:sz w:val="24"/>
          <w:szCs w:val="24"/>
        </w:rPr>
        <w:t>urmărit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cheie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:</w:t>
      </w:r>
    </w:p>
    <w:p w14:paraId="2348F52B" w14:textId="77777777" w:rsidR="00D42C94" w:rsidRPr="003A51F2" w:rsidRDefault="00D42C94" w:rsidP="00D42C94">
      <w:pPr>
        <w:pStyle w:val="ListParagraph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Obţinerea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unui document complex, realizat cu respectarea criteriilor cheie de calitate utilizate în evaluarea documentelor strategice la nivel european: </w:t>
      </w:r>
    </w:p>
    <w:p w14:paraId="40F243C5" w14:textId="77777777" w:rsidR="00D42C94" w:rsidRPr="003A51F2" w:rsidRDefault="00D42C94" w:rsidP="00D42C94">
      <w:pPr>
        <w:pStyle w:val="ListParagraph"/>
        <w:numPr>
          <w:ilvl w:val="1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relevanţă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, b) eficacitate, c)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eficienţă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, d)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consecvenţă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coerenţă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e) pragmatism, f) sustenabilitate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g) aranjamente de management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monitorizare.</w:t>
      </w:r>
    </w:p>
    <w:p w14:paraId="291EAB8B" w14:textId="77777777" w:rsidR="00D42C94" w:rsidRPr="003A51F2" w:rsidRDefault="00D42C94" w:rsidP="00D42C94">
      <w:pPr>
        <w:pStyle w:val="ListParagraph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Participarea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implicarea activă a tuturor actorilor locali relevanți în procesul de planificare</w:t>
      </w:r>
    </w:p>
    <w:p w14:paraId="18A7B835" w14:textId="77777777" w:rsidR="00D42C94" w:rsidRPr="003A51F2" w:rsidRDefault="00D42C94" w:rsidP="00D42C94">
      <w:pPr>
        <w:pStyle w:val="ListParagraph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strategică pentru a construi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susţinerea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necesară în vederea implementării ulterioare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stimularea construirii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relaţii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de parteneriat adresării în comun a unor probleme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importanţă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majoră pentru comunitate.</w:t>
      </w:r>
    </w:p>
    <w:p w14:paraId="75529262" w14:textId="77777777" w:rsidR="00D42C94" w:rsidRPr="003A51F2" w:rsidRDefault="00D42C94" w:rsidP="00D42C94">
      <w:pPr>
        <w:pStyle w:val="ListParagraph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Raportarea strategiei de dezvoltare locală la sursele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finanţare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existente, disponibile prin</w:t>
      </w:r>
    </w:p>
    <w:p w14:paraId="4B51A2DE" w14:textId="60B9FCFE" w:rsidR="00D42C94" w:rsidRPr="003A51F2" w:rsidRDefault="00D42C94" w:rsidP="00D42C94">
      <w:pPr>
        <w:pStyle w:val="ListParagraph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accesarea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finanţări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europene nerambursabile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/sau mobilizarea unor instrumente de creditare municipale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/sau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val="ro-RO"/>
        </w:rPr>
        <w:t>investiţii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val="ro-RO"/>
        </w:rPr>
        <w:t xml:space="preserve"> private.</w:t>
      </w:r>
    </w:p>
    <w:p w14:paraId="796FE9CF" w14:textId="77777777" w:rsidR="00D42C94" w:rsidRPr="003A51F2" w:rsidRDefault="00D42C94" w:rsidP="00866B87">
      <w:pPr>
        <w:pStyle w:val="Default"/>
        <w:spacing w:line="276" w:lineRule="auto"/>
        <w:jc w:val="both"/>
        <w:rPr>
          <w:rFonts w:ascii="Times New Roman" w:eastAsia="TimesNewRoman" w:hAnsi="Times New Roman" w:cs="Times New Roman"/>
          <w:b/>
          <w:color w:val="auto"/>
          <w:lang w:val="ro-RO"/>
        </w:rPr>
      </w:pPr>
    </w:p>
    <w:p w14:paraId="26E0C360" w14:textId="062D83B0" w:rsidR="00D42C94" w:rsidRPr="003A51F2" w:rsidRDefault="00D42C94" w:rsidP="00D42C9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51F2">
        <w:rPr>
          <w:rFonts w:ascii="Times New Roman" w:hAnsi="Times New Roman" w:cs="Times New Roman"/>
          <w:b/>
          <w:sz w:val="24"/>
          <w:szCs w:val="24"/>
        </w:rPr>
        <w:t>Cerințe</w:t>
      </w:r>
      <w:proofErr w:type="spellEnd"/>
      <w:r w:rsidRPr="003A51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  <w:sz w:val="24"/>
          <w:szCs w:val="24"/>
        </w:rPr>
        <w:t>conținut</w:t>
      </w:r>
      <w:proofErr w:type="spellEnd"/>
      <w:r w:rsidRPr="003A51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DB8261" w14:textId="58994555" w:rsidR="00D42C94" w:rsidRPr="003A51F2" w:rsidRDefault="003A51F2" w:rsidP="00D42C9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Documentația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C94" w:rsidRPr="003A51F2">
        <w:rPr>
          <w:rFonts w:ascii="Times New Roman" w:hAnsi="Times New Roman" w:cs="Times New Roman"/>
          <w:sz w:val="24"/>
          <w:szCs w:val="24"/>
        </w:rPr>
        <w:t>cuprinde</w:t>
      </w:r>
      <w:proofErr w:type="spellEnd"/>
      <w:r w:rsidR="00D42C94" w:rsidRPr="003A51F2">
        <w:rPr>
          <w:rFonts w:ascii="Times New Roman" w:hAnsi="Times New Roman" w:cs="Times New Roman"/>
          <w:sz w:val="24"/>
          <w:szCs w:val="24"/>
        </w:rPr>
        <w:t>:</w:t>
      </w:r>
    </w:p>
    <w:p w14:paraId="668EC86C" w14:textId="7261F6A0" w:rsidR="00D42C94" w:rsidRPr="003A51F2" w:rsidRDefault="00D42C94" w:rsidP="00D42C94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situației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actuale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analizarea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inventarului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referință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cuantificarea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potrivite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domenii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consumurilor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CO2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documentelor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locale,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Inventarierea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blocurilor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Sfântu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Gheorghe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construite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1950-2005,</w:t>
      </w:r>
    </w:p>
    <w:p w14:paraId="6EEDF275" w14:textId="3A27751B" w:rsidR="00D42C94" w:rsidRPr="003A51F2" w:rsidRDefault="00D42C94" w:rsidP="00D42C9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5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strategiei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îmbunătățire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eficienței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emisiilor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CO2, care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stabilește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măsurile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concrete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reducere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necesarul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soluții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posibile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surse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bugetu1 local,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calendarul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raport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reducerile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minime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consumului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încălzire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reducerea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pierderilor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energie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pe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sistemul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alimentare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cu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apă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caldă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consum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-parte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comună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- definite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prin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implementarea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soluțiilor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reabilitare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prevăzute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lang w:eastAsia="es-ES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  <w:lang w:eastAsia="es-ES"/>
        </w:rPr>
        <w:t xml:space="preserve"> OUG 18 din </w:t>
      </w:r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martie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2009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privind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creșterea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performanței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energetice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blocurilor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locuințe</w:t>
      </w:r>
      <w:proofErr w:type="spellEnd"/>
      <w:r w:rsidRPr="003A51F2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proofErr w:type="gramEnd"/>
    </w:p>
    <w:p w14:paraId="3A9E5919" w14:textId="77777777" w:rsidR="003A51F2" w:rsidRDefault="003A51F2" w:rsidP="003A51F2">
      <w:pPr>
        <w:pStyle w:val="Default"/>
        <w:spacing w:after="101"/>
        <w:jc w:val="both"/>
        <w:rPr>
          <w:rFonts w:ascii="Times New Roman" w:hAnsi="Times New Roman" w:cs="Times New Roman"/>
          <w:lang w:val="ro-RO"/>
        </w:rPr>
      </w:pPr>
      <w:r w:rsidRPr="003A51F2">
        <w:rPr>
          <w:rFonts w:ascii="Times New Roman" w:hAnsi="Times New Roman" w:cs="Times New Roman"/>
          <w:b/>
        </w:rPr>
        <w:t xml:space="preserve">Mic </w:t>
      </w:r>
      <w:proofErr w:type="spellStart"/>
      <w:r w:rsidRPr="003A51F2">
        <w:rPr>
          <w:rFonts w:ascii="Times New Roman" w:hAnsi="Times New Roman" w:cs="Times New Roman"/>
          <w:b/>
        </w:rPr>
        <w:t>breviar</w:t>
      </w:r>
      <w:proofErr w:type="spellEnd"/>
      <w:r w:rsidRPr="003A51F2">
        <w:rPr>
          <w:rFonts w:ascii="Times New Roman" w:hAnsi="Times New Roman" w:cs="Times New Roman"/>
          <w:b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</w:rPr>
        <w:t>practic</w:t>
      </w:r>
      <w:proofErr w:type="spellEnd"/>
      <w:r w:rsidRPr="003A51F2">
        <w:rPr>
          <w:rFonts w:ascii="Times New Roman" w:hAnsi="Times New Roman" w:cs="Times New Roman"/>
          <w:b/>
        </w:rPr>
        <w:t xml:space="preserve"> de </w:t>
      </w:r>
      <w:proofErr w:type="spellStart"/>
      <w:r w:rsidRPr="003A51F2">
        <w:rPr>
          <w:rFonts w:ascii="Times New Roman" w:hAnsi="Times New Roman" w:cs="Times New Roman"/>
          <w:b/>
        </w:rPr>
        <w:t>reabilitare</w:t>
      </w:r>
      <w:proofErr w:type="spellEnd"/>
      <w:r w:rsidRPr="003A51F2">
        <w:rPr>
          <w:rFonts w:ascii="Times New Roman" w:hAnsi="Times New Roman" w:cs="Times New Roman"/>
          <w:b/>
        </w:rPr>
        <w:t xml:space="preserve"> </w:t>
      </w:r>
      <w:proofErr w:type="spellStart"/>
      <w:r w:rsidRPr="003A51F2">
        <w:rPr>
          <w:rFonts w:ascii="Times New Roman" w:hAnsi="Times New Roman" w:cs="Times New Roman"/>
          <w:b/>
        </w:rPr>
        <w:t>blocuri</w:t>
      </w:r>
      <w:proofErr w:type="spellEnd"/>
      <w:r w:rsidRPr="003A51F2">
        <w:rPr>
          <w:rFonts w:ascii="Times New Roman" w:hAnsi="Times New Roman" w:cs="Times New Roman"/>
          <w:lang w:val="ro-RO"/>
        </w:rPr>
        <w:t xml:space="preserve"> </w:t>
      </w:r>
    </w:p>
    <w:p w14:paraId="139F984B" w14:textId="3D38799D" w:rsidR="003A51F2" w:rsidRPr="003A51F2" w:rsidRDefault="003A51F2" w:rsidP="003A51F2">
      <w:pPr>
        <w:pStyle w:val="Default"/>
        <w:spacing w:after="101"/>
        <w:jc w:val="both"/>
        <w:rPr>
          <w:rFonts w:ascii="Times New Roman" w:hAnsi="Times New Roman" w:cs="Times New Roman"/>
          <w:color w:val="auto"/>
          <w:lang w:val="ro-RO"/>
        </w:rPr>
      </w:pPr>
      <w:r w:rsidRPr="003A51F2">
        <w:rPr>
          <w:rFonts w:ascii="Times New Roman" w:hAnsi="Times New Roman" w:cs="Times New Roman"/>
          <w:lang w:val="ro-RO"/>
        </w:rPr>
        <w:t>În acest capitol specific tip anexă se solicită ca elaboratorul strategiei să parcurgă/modeleze pe un exemplu ales/studiu de caz condițiile/reglementările pe care întâmpină un proiect de reabilitare bloc, regulile de bază al unui proces de reabilitare, însumând:</w:t>
      </w:r>
    </w:p>
    <w:p w14:paraId="6CA23F46" w14:textId="77777777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terminologia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garanțiilor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depuse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locatari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variantele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posibile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,</w:t>
      </w:r>
    </w:p>
    <w:p w14:paraId="27624BF4" w14:textId="77777777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formulele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calcul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cotă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parte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proprietari</w:t>
      </w:r>
      <w:proofErr w:type="spellEnd"/>
    </w:p>
    <w:p w14:paraId="01089C4C" w14:textId="77777777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calculul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cheltuieli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condomenii</w:t>
      </w:r>
      <w:proofErr w:type="spellEnd"/>
    </w:p>
    <w:p w14:paraId="4260BC1E" w14:textId="77777777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situația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proprietari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apartamente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bloc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persoane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juridice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chiar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locuința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folosit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chirie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,</w:t>
      </w:r>
    </w:p>
    <w:p w14:paraId="141DA0B2" w14:textId="77777777" w:rsidR="003A51F2" w:rsidRPr="003A51F2" w:rsidRDefault="003A51F2" w:rsidP="003A51F2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regulamente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condiții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situații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sociale</w:t>
      </w:r>
      <w:proofErr w:type="spellEnd"/>
    </w:p>
    <w:p w14:paraId="6AC0F685" w14:textId="313703A1" w:rsidR="00520A06" w:rsidRDefault="003A51F2" w:rsidP="003B4D15">
      <w:pPr>
        <w:jc w:val="both"/>
        <w:rPr>
          <w:rFonts w:ascii="Times New Roman" w:hAnsi="Times New Roman" w:cs="Times New Roman"/>
          <w:sz w:val="24"/>
          <w:szCs w:val="24"/>
        </w:rPr>
      </w:pPr>
      <w:r w:rsidRPr="003A51F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3A51F2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proofErr w:type="gram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formularele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51F2">
        <w:rPr>
          <w:rFonts w:ascii="Times New Roman" w:hAnsi="Times New Roman" w:cs="Times New Roman"/>
          <w:sz w:val="24"/>
          <w:szCs w:val="24"/>
        </w:rPr>
        <w:t>proces</w:t>
      </w:r>
      <w:proofErr w:type="spellEnd"/>
      <w:r w:rsidRPr="003A51F2">
        <w:rPr>
          <w:rFonts w:ascii="Times New Roman" w:hAnsi="Times New Roman" w:cs="Times New Roman"/>
          <w:sz w:val="24"/>
          <w:szCs w:val="24"/>
        </w:rPr>
        <w:t>.</w:t>
      </w:r>
    </w:p>
    <w:p w14:paraId="26930E7B" w14:textId="77777777" w:rsidR="005926AE" w:rsidRPr="003A51F2" w:rsidRDefault="005926AE" w:rsidP="003B4D1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0016F42" w14:textId="0F69DE08" w:rsidR="000A2953" w:rsidRPr="003A51F2" w:rsidRDefault="00200BA7" w:rsidP="00200BA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</w:t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Director General</w:t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  <w:t xml:space="preserve">      </w:t>
      </w:r>
    </w:p>
    <w:p w14:paraId="19A915F1" w14:textId="64F71FEA" w:rsidR="000C74DD" w:rsidRPr="003A51F2" w:rsidRDefault="00200BA7" w:rsidP="00866B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                      </w:t>
      </w:r>
      <w:r w:rsidR="000A2953"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         </w:t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5926A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Buja</w:t>
      </w:r>
      <w:proofErr w:type="spellEnd"/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Gergely</w:t>
      </w:r>
      <w:r w:rsidR="000A2953"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0A2953"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="000A2953"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ab/>
      </w:r>
      <w:r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   </w:t>
      </w:r>
      <w:r w:rsidR="000A2953" w:rsidRPr="003A51F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 </w:t>
      </w:r>
    </w:p>
    <w:p w14:paraId="5033E886" w14:textId="726C3DA2" w:rsidR="00200BA7" w:rsidRPr="003A51F2" w:rsidRDefault="00200BA7" w:rsidP="00866B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3D8571B4" w14:textId="77777777" w:rsidR="00200BA7" w:rsidRPr="003A51F2" w:rsidRDefault="00200BA7" w:rsidP="00866B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33B2E4A" w14:textId="77777777" w:rsidR="003B4D15" w:rsidRPr="003A51F2" w:rsidRDefault="003B4D15" w:rsidP="00866B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5287B3FC" w14:textId="726F41AA" w:rsidR="003B4D15" w:rsidRPr="003A51F2" w:rsidRDefault="003B4D15" w:rsidP="00866B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8B2F950" w14:textId="77777777" w:rsidR="003B4D15" w:rsidRPr="003A51F2" w:rsidRDefault="003B4D15" w:rsidP="00866B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6CC0AF6" w14:textId="3B10A5BC" w:rsidR="004504F9" w:rsidRPr="003A51F2" w:rsidRDefault="00247B83" w:rsidP="00866B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bCs/>
          <w:sz w:val="24"/>
          <w:szCs w:val="24"/>
          <w:lang w:val="ro-RO"/>
        </w:rPr>
        <w:t>S</w:t>
      </w:r>
      <w:r w:rsidR="004504F9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fântu Gheorghe</w:t>
      </w:r>
      <w:r w:rsidR="000A2953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,</w:t>
      </w:r>
    </w:p>
    <w:p w14:paraId="2F6EC360" w14:textId="7DC3E1F2" w:rsidR="00FC4628" w:rsidRPr="003A51F2" w:rsidRDefault="00D42C94" w:rsidP="00866B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A51F2">
        <w:rPr>
          <w:rFonts w:ascii="Times New Roman" w:hAnsi="Times New Roman" w:cs="Times New Roman"/>
          <w:bCs/>
          <w:sz w:val="24"/>
          <w:szCs w:val="24"/>
          <w:lang w:val="ro-RO"/>
        </w:rPr>
        <w:t>18</w:t>
      </w:r>
      <w:r w:rsidR="009C15E0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8C0FF8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0</w:t>
      </w:r>
      <w:r w:rsidR="00CD0CFF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5</w:t>
      </w:r>
      <w:r w:rsidR="009C15E0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  <w:r w:rsidR="000A2953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202</w:t>
      </w:r>
      <w:r w:rsidR="00865349" w:rsidRPr="003A51F2">
        <w:rPr>
          <w:rFonts w:ascii="Times New Roman" w:hAnsi="Times New Roman" w:cs="Times New Roman"/>
          <w:bCs/>
          <w:sz w:val="24"/>
          <w:szCs w:val="24"/>
          <w:lang w:val="ro-RO"/>
        </w:rPr>
        <w:t>3.</w:t>
      </w:r>
    </w:p>
    <w:p w14:paraId="5CCD274D" w14:textId="634E68C2" w:rsidR="004651C2" w:rsidRPr="003A51F2" w:rsidRDefault="00D42C94" w:rsidP="00866B8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51F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Întocmit: Consilier, </w:t>
      </w:r>
      <w:r w:rsidR="00CD0CFF" w:rsidRPr="003A51F2">
        <w:rPr>
          <w:rFonts w:ascii="Times New Roman" w:eastAsia="Times New Roman" w:hAnsi="Times New Roman" w:cs="Times New Roman"/>
          <w:sz w:val="24"/>
          <w:szCs w:val="24"/>
          <w:lang w:val="ro-RO"/>
        </w:rPr>
        <w:t>Gergely Edit</w:t>
      </w:r>
      <w:r w:rsidR="004504F9" w:rsidRPr="003A51F2">
        <w:rPr>
          <w:rFonts w:ascii="Times New Roman" w:eastAsia="Times New Roman" w:hAnsi="Times New Roman" w:cs="Times New Roman"/>
          <w:sz w:val="24"/>
          <w:szCs w:val="24"/>
          <w:lang w:val="ro-RO"/>
        </w:rPr>
        <w:t>/2 ex</w:t>
      </w:r>
    </w:p>
    <w:p w14:paraId="4569AE0F" w14:textId="77777777" w:rsidR="000A1847" w:rsidRPr="003A51F2" w:rsidRDefault="000A1847" w:rsidP="00866B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0A1847" w:rsidRPr="003A51F2" w:rsidSect="00866B87">
      <w:pgSz w:w="11907" w:h="16839" w:code="9"/>
      <w:pgMar w:top="993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NewRoman">
    <w:altName w:val="Yu Gothic U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73C7F50"/>
    <w:lvl w:ilvl="0">
      <w:numFmt w:val="bullet"/>
      <w:lvlText w:val="*"/>
      <w:lvlJc w:val="left"/>
    </w:lvl>
  </w:abstractNum>
  <w:abstractNum w:abstractNumId="1" w15:restartNumberingAfterBreak="0">
    <w:nsid w:val="073777AF"/>
    <w:multiLevelType w:val="hybridMultilevel"/>
    <w:tmpl w:val="8FDC5F26"/>
    <w:lvl w:ilvl="0" w:tplc="0418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2" w15:restartNumberingAfterBreak="0">
    <w:nsid w:val="092F08FD"/>
    <w:multiLevelType w:val="hybridMultilevel"/>
    <w:tmpl w:val="E2A68B1A"/>
    <w:lvl w:ilvl="0" w:tplc="1CAA2F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DD2D10"/>
    <w:multiLevelType w:val="hybridMultilevel"/>
    <w:tmpl w:val="0C9AEBE2"/>
    <w:lvl w:ilvl="0" w:tplc="E5BE64B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0A5B"/>
    <w:multiLevelType w:val="hybridMultilevel"/>
    <w:tmpl w:val="F8800D02"/>
    <w:lvl w:ilvl="0" w:tplc="8910D48E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B10561"/>
    <w:multiLevelType w:val="hybridMultilevel"/>
    <w:tmpl w:val="B914BA42"/>
    <w:lvl w:ilvl="0" w:tplc="1B5A9C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2736E"/>
    <w:multiLevelType w:val="hybridMultilevel"/>
    <w:tmpl w:val="413E72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F3509"/>
    <w:multiLevelType w:val="hybridMultilevel"/>
    <w:tmpl w:val="CF50C9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065890"/>
    <w:multiLevelType w:val="hybridMultilevel"/>
    <w:tmpl w:val="C5C0085C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18EC5E5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C3FFA"/>
    <w:multiLevelType w:val="hybridMultilevel"/>
    <w:tmpl w:val="2012B3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910831"/>
    <w:multiLevelType w:val="hybridMultilevel"/>
    <w:tmpl w:val="74EA8F28"/>
    <w:lvl w:ilvl="0" w:tplc="041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3016C2"/>
    <w:multiLevelType w:val="hybridMultilevel"/>
    <w:tmpl w:val="7410130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F50C47E">
      <w:numFmt w:val="bullet"/>
      <w:lvlText w:val="•"/>
      <w:lvlJc w:val="left"/>
      <w:pPr>
        <w:ind w:left="2007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1D1055B"/>
    <w:multiLevelType w:val="hybridMultilevel"/>
    <w:tmpl w:val="48624A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F5B1E"/>
    <w:multiLevelType w:val="hybridMultilevel"/>
    <w:tmpl w:val="B238B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C2907"/>
    <w:multiLevelType w:val="hybridMultilevel"/>
    <w:tmpl w:val="4B32525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337A3"/>
    <w:multiLevelType w:val="multilevel"/>
    <w:tmpl w:val="F15025D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2A414B32"/>
    <w:multiLevelType w:val="hybridMultilevel"/>
    <w:tmpl w:val="90327B6C"/>
    <w:lvl w:ilvl="0" w:tplc="E5BE64BA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A47665"/>
    <w:multiLevelType w:val="hybridMultilevel"/>
    <w:tmpl w:val="B41E778C"/>
    <w:lvl w:ilvl="0" w:tplc="E5BE64B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228C7"/>
    <w:multiLevelType w:val="hybridMultilevel"/>
    <w:tmpl w:val="0E60DB2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44505E9"/>
    <w:multiLevelType w:val="multilevel"/>
    <w:tmpl w:val="B99635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5220E52"/>
    <w:multiLevelType w:val="hybridMultilevel"/>
    <w:tmpl w:val="2BE8E964"/>
    <w:lvl w:ilvl="0" w:tplc="9D22CD30">
      <w:start w:val="518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8124BF"/>
    <w:multiLevelType w:val="hybridMultilevel"/>
    <w:tmpl w:val="9DE85C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64BF5"/>
    <w:multiLevelType w:val="hybridMultilevel"/>
    <w:tmpl w:val="5130EE16"/>
    <w:lvl w:ilvl="0" w:tplc="6F2419B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703A4"/>
    <w:multiLevelType w:val="hybridMultilevel"/>
    <w:tmpl w:val="C08EB08C"/>
    <w:lvl w:ilvl="0" w:tplc="32E84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A2CFB"/>
    <w:multiLevelType w:val="hybridMultilevel"/>
    <w:tmpl w:val="9A2E74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D21E0"/>
    <w:multiLevelType w:val="hybridMultilevel"/>
    <w:tmpl w:val="86F87C5C"/>
    <w:lvl w:ilvl="0" w:tplc="7F50C47E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617FD"/>
    <w:multiLevelType w:val="hybridMultilevel"/>
    <w:tmpl w:val="DA3490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FF044A"/>
    <w:multiLevelType w:val="multilevel"/>
    <w:tmpl w:val="7CC8AB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4FE000C2"/>
    <w:multiLevelType w:val="hybridMultilevel"/>
    <w:tmpl w:val="6D9EC1B6"/>
    <w:lvl w:ilvl="0" w:tplc="B232A024">
      <w:start w:val="2"/>
      <w:numFmt w:val="bullet"/>
      <w:lvlText w:val="-"/>
      <w:lvlJc w:val="left"/>
      <w:pPr>
        <w:ind w:left="1080" w:hanging="360"/>
      </w:pPr>
      <w:rPr>
        <w:rFonts w:ascii="Batang" w:eastAsia="Batang" w:hAnsi="Batang" w:cs="Times New Roman" w:hint="eastAsia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306FF4"/>
    <w:multiLevelType w:val="hybridMultilevel"/>
    <w:tmpl w:val="6D18C474"/>
    <w:lvl w:ilvl="0" w:tplc="1CAA2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B6476"/>
    <w:multiLevelType w:val="hybridMultilevel"/>
    <w:tmpl w:val="992C9F84"/>
    <w:lvl w:ilvl="0" w:tplc="9D22CD30">
      <w:start w:val="518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214358"/>
    <w:multiLevelType w:val="hybridMultilevel"/>
    <w:tmpl w:val="A1DCF7E2"/>
    <w:lvl w:ilvl="0" w:tplc="3000DE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D80AD6"/>
    <w:multiLevelType w:val="hybridMultilevel"/>
    <w:tmpl w:val="D89A0C6A"/>
    <w:lvl w:ilvl="0" w:tplc="E5BE64BA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1A71BF9"/>
    <w:multiLevelType w:val="hybridMultilevel"/>
    <w:tmpl w:val="C41846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D03F3"/>
    <w:multiLevelType w:val="hybridMultilevel"/>
    <w:tmpl w:val="C3923D08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5791D19"/>
    <w:multiLevelType w:val="hybridMultilevel"/>
    <w:tmpl w:val="EEF6D2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13C4F"/>
    <w:multiLevelType w:val="hybridMultilevel"/>
    <w:tmpl w:val="2B5E2D60"/>
    <w:lvl w:ilvl="0" w:tplc="98DA48F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EE4EE6"/>
    <w:multiLevelType w:val="hybridMultilevel"/>
    <w:tmpl w:val="985442DE"/>
    <w:lvl w:ilvl="0" w:tplc="E5BE64BA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650F93"/>
    <w:multiLevelType w:val="hybridMultilevel"/>
    <w:tmpl w:val="5F5E2A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BB3"/>
    <w:multiLevelType w:val="hybridMultilevel"/>
    <w:tmpl w:val="F378D9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7467F"/>
    <w:multiLevelType w:val="hybridMultilevel"/>
    <w:tmpl w:val="515CB3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E3220E"/>
    <w:multiLevelType w:val="hybridMultilevel"/>
    <w:tmpl w:val="57CA53C4"/>
    <w:lvl w:ilvl="0" w:tplc="98DA48F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9"/>
  </w:num>
  <w:num w:numId="4">
    <w:abstractNumId w:val="4"/>
  </w:num>
  <w:num w:numId="5">
    <w:abstractNumId w:val="2"/>
  </w:num>
  <w:num w:numId="6">
    <w:abstractNumId w:val="16"/>
  </w:num>
  <w:num w:numId="7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27"/>
  </w:num>
  <w:num w:numId="10">
    <w:abstractNumId w:val="14"/>
  </w:num>
  <w:num w:numId="11">
    <w:abstractNumId w:val="19"/>
  </w:num>
  <w:num w:numId="12">
    <w:abstractNumId w:val="20"/>
  </w:num>
  <w:num w:numId="13">
    <w:abstractNumId w:val="30"/>
  </w:num>
  <w:num w:numId="14">
    <w:abstractNumId w:val="31"/>
  </w:num>
  <w:num w:numId="15">
    <w:abstractNumId w:val="37"/>
  </w:num>
  <w:num w:numId="16">
    <w:abstractNumId w:val="39"/>
  </w:num>
  <w:num w:numId="17">
    <w:abstractNumId w:val="3"/>
  </w:num>
  <w:num w:numId="18">
    <w:abstractNumId w:val="1"/>
  </w:num>
  <w:num w:numId="19">
    <w:abstractNumId w:val="17"/>
  </w:num>
  <w:num w:numId="20">
    <w:abstractNumId w:val="32"/>
  </w:num>
  <w:num w:numId="21">
    <w:abstractNumId w:val="7"/>
  </w:num>
  <w:num w:numId="22">
    <w:abstractNumId w:val="12"/>
  </w:num>
  <w:num w:numId="23">
    <w:abstractNumId w:val="35"/>
  </w:num>
  <w:num w:numId="24">
    <w:abstractNumId w:val="40"/>
  </w:num>
  <w:num w:numId="25">
    <w:abstractNumId w:val="5"/>
  </w:num>
  <w:num w:numId="26">
    <w:abstractNumId w:val="22"/>
  </w:num>
  <w:num w:numId="27">
    <w:abstractNumId w:val="10"/>
  </w:num>
  <w:num w:numId="28">
    <w:abstractNumId w:val="33"/>
  </w:num>
  <w:num w:numId="29">
    <w:abstractNumId w:val="38"/>
  </w:num>
  <w:num w:numId="30">
    <w:abstractNumId w:val="9"/>
  </w:num>
  <w:num w:numId="31">
    <w:abstractNumId w:val="34"/>
  </w:num>
  <w:num w:numId="32">
    <w:abstractNumId w:val="21"/>
  </w:num>
  <w:num w:numId="33">
    <w:abstractNumId w:val="18"/>
  </w:num>
  <w:num w:numId="34">
    <w:abstractNumId w:val="11"/>
  </w:num>
  <w:num w:numId="35">
    <w:abstractNumId w:val="8"/>
  </w:num>
  <w:num w:numId="36">
    <w:abstractNumId w:val="25"/>
  </w:num>
  <w:num w:numId="37">
    <w:abstractNumId w:val="23"/>
  </w:num>
  <w:num w:numId="38">
    <w:abstractNumId w:val="26"/>
  </w:num>
  <w:num w:numId="39">
    <w:abstractNumId w:val="41"/>
  </w:num>
  <w:num w:numId="40">
    <w:abstractNumId w:val="36"/>
  </w:num>
  <w:num w:numId="41">
    <w:abstractNumId w:val="24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927"/>
    <w:rsid w:val="00015ADB"/>
    <w:rsid w:val="000220C3"/>
    <w:rsid w:val="000225BC"/>
    <w:rsid w:val="0002482D"/>
    <w:rsid w:val="000267EA"/>
    <w:rsid w:val="00027F9E"/>
    <w:rsid w:val="000362B1"/>
    <w:rsid w:val="00050D31"/>
    <w:rsid w:val="00053EAE"/>
    <w:rsid w:val="00073650"/>
    <w:rsid w:val="00081255"/>
    <w:rsid w:val="00085D94"/>
    <w:rsid w:val="000927B4"/>
    <w:rsid w:val="000A1847"/>
    <w:rsid w:val="000A2953"/>
    <w:rsid w:val="000A44DA"/>
    <w:rsid w:val="000A4531"/>
    <w:rsid w:val="000C194C"/>
    <w:rsid w:val="000C668D"/>
    <w:rsid w:val="000C74DD"/>
    <w:rsid w:val="000D7A1A"/>
    <w:rsid w:val="000E6A3D"/>
    <w:rsid w:val="000F0D20"/>
    <w:rsid w:val="000F4E21"/>
    <w:rsid w:val="000F66CE"/>
    <w:rsid w:val="001120E1"/>
    <w:rsid w:val="00112E8F"/>
    <w:rsid w:val="00113436"/>
    <w:rsid w:val="001159EB"/>
    <w:rsid w:val="00116365"/>
    <w:rsid w:val="0011775D"/>
    <w:rsid w:val="00133682"/>
    <w:rsid w:val="00134453"/>
    <w:rsid w:val="00151995"/>
    <w:rsid w:val="001534B4"/>
    <w:rsid w:val="001733AC"/>
    <w:rsid w:val="00183D42"/>
    <w:rsid w:val="00190FAF"/>
    <w:rsid w:val="00193AFE"/>
    <w:rsid w:val="001945DA"/>
    <w:rsid w:val="001C32D9"/>
    <w:rsid w:val="001D3C95"/>
    <w:rsid w:val="001F53EE"/>
    <w:rsid w:val="001F5EE4"/>
    <w:rsid w:val="00200BA7"/>
    <w:rsid w:val="00210396"/>
    <w:rsid w:val="00212707"/>
    <w:rsid w:val="002141D8"/>
    <w:rsid w:val="00224465"/>
    <w:rsid w:val="00237131"/>
    <w:rsid w:val="00247B83"/>
    <w:rsid w:val="00255603"/>
    <w:rsid w:val="002601AE"/>
    <w:rsid w:val="00263878"/>
    <w:rsid w:val="00275F69"/>
    <w:rsid w:val="00277E71"/>
    <w:rsid w:val="002862E6"/>
    <w:rsid w:val="00292AF7"/>
    <w:rsid w:val="00293535"/>
    <w:rsid w:val="002944DB"/>
    <w:rsid w:val="002A2107"/>
    <w:rsid w:val="002A6AB5"/>
    <w:rsid w:val="002B02FB"/>
    <w:rsid w:val="002B3325"/>
    <w:rsid w:val="002C4F81"/>
    <w:rsid w:val="002D09C9"/>
    <w:rsid w:val="002D1110"/>
    <w:rsid w:val="002D6ABB"/>
    <w:rsid w:val="002D7D9F"/>
    <w:rsid w:val="002F3F19"/>
    <w:rsid w:val="00312E39"/>
    <w:rsid w:val="00324B5E"/>
    <w:rsid w:val="003331CB"/>
    <w:rsid w:val="0033551C"/>
    <w:rsid w:val="00337937"/>
    <w:rsid w:val="00346E91"/>
    <w:rsid w:val="003529B6"/>
    <w:rsid w:val="003572D5"/>
    <w:rsid w:val="00371717"/>
    <w:rsid w:val="003746BA"/>
    <w:rsid w:val="00385356"/>
    <w:rsid w:val="00393AB1"/>
    <w:rsid w:val="003A0843"/>
    <w:rsid w:val="003A503F"/>
    <w:rsid w:val="003A51F2"/>
    <w:rsid w:val="003B435D"/>
    <w:rsid w:val="003B4D15"/>
    <w:rsid w:val="003C3599"/>
    <w:rsid w:val="003C45C1"/>
    <w:rsid w:val="003C745D"/>
    <w:rsid w:val="003D05F2"/>
    <w:rsid w:val="003E3BE2"/>
    <w:rsid w:val="003E6217"/>
    <w:rsid w:val="003F096B"/>
    <w:rsid w:val="003F55A5"/>
    <w:rsid w:val="0040617A"/>
    <w:rsid w:val="00406D5A"/>
    <w:rsid w:val="00421CC3"/>
    <w:rsid w:val="00432598"/>
    <w:rsid w:val="00441E6C"/>
    <w:rsid w:val="004504F9"/>
    <w:rsid w:val="00455BF1"/>
    <w:rsid w:val="00460396"/>
    <w:rsid w:val="004651C2"/>
    <w:rsid w:val="004666B6"/>
    <w:rsid w:val="00481D0F"/>
    <w:rsid w:val="004905A0"/>
    <w:rsid w:val="00492AA1"/>
    <w:rsid w:val="004A2102"/>
    <w:rsid w:val="004B507A"/>
    <w:rsid w:val="004B661D"/>
    <w:rsid w:val="004C2E07"/>
    <w:rsid w:val="004C563E"/>
    <w:rsid w:val="004D2030"/>
    <w:rsid w:val="004E5F6C"/>
    <w:rsid w:val="004F1571"/>
    <w:rsid w:val="00505D1C"/>
    <w:rsid w:val="00511B87"/>
    <w:rsid w:val="0051297E"/>
    <w:rsid w:val="00517A79"/>
    <w:rsid w:val="00520A06"/>
    <w:rsid w:val="00521463"/>
    <w:rsid w:val="00521DA2"/>
    <w:rsid w:val="00534D98"/>
    <w:rsid w:val="00543D1C"/>
    <w:rsid w:val="00547DB3"/>
    <w:rsid w:val="00585079"/>
    <w:rsid w:val="0058602A"/>
    <w:rsid w:val="005926AE"/>
    <w:rsid w:val="005A10E9"/>
    <w:rsid w:val="005A258B"/>
    <w:rsid w:val="005A26ED"/>
    <w:rsid w:val="005A5929"/>
    <w:rsid w:val="005B1C14"/>
    <w:rsid w:val="005D1321"/>
    <w:rsid w:val="005D1764"/>
    <w:rsid w:val="005E0528"/>
    <w:rsid w:val="006020A0"/>
    <w:rsid w:val="006046A2"/>
    <w:rsid w:val="0061030B"/>
    <w:rsid w:val="00620A35"/>
    <w:rsid w:val="00634DC9"/>
    <w:rsid w:val="00637FE0"/>
    <w:rsid w:val="006514AF"/>
    <w:rsid w:val="006545B3"/>
    <w:rsid w:val="00657580"/>
    <w:rsid w:val="00660EEB"/>
    <w:rsid w:val="00665029"/>
    <w:rsid w:val="00665F59"/>
    <w:rsid w:val="006717A5"/>
    <w:rsid w:val="00671AB8"/>
    <w:rsid w:val="00676927"/>
    <w:rsid w:val="006A263B"/>
    <w:rsid w:val="006A566D"/>
    <w:rsid w:val="006B0C8F"/>
    <w:rsid w:val="006B6F5E"/>
    <w:rsid w:val="006C21B2"/>
    <w:rsid w:val="006C3D59"/>
    <w:rsid w:val="006D1612"/>
    <w:rsid w:val="006D72AA"/>
    <w:rsid w:val="006E473E"/>
    <w:rsid w:val="00705481"/>
    <w:rsid w:val="007105B7"/>
    <w:rsid w:val="00726DE2"/>
    <w:rsid w:val="0074035B"/>
    <w:rsid w:val="00744AD0"/>
    <w:rsid w:val="0076286A"/>
    <w:rsid w:val="007755DA"/>
    <w:rsid w:val="00785BFA"/>
    <w:rsid w:val="007918C3"/>
    <w:rsid w:val="00793B4E"/>
    <w:rsid w:val="007A1AEE"/>
    <w:rsid w:val="007A2550"/>
    <w:rsid w:val="007B3947"/>
    <w:rsid w:val="007B409D"/>
    <w:rsid w:val="007B71B3"/>
    <w:rsid w:val="007B7750"/>
    <w:rsid w:val="007C67E7"/>
    <w:rsid w:val="007D1013"/>
    <w:rsid w:val="007E0E21"/>
    <w:rsid w:val="007F023A"/>
    <w:rsid w:val="007F6D47"/>
    <w:rsid w:val="00805A80"/>
    <w:rsid w:val="008203AA"/>
    <w:rsid w:val="00832FE3"/>
    <w:rsid w:val="00840B8F"/>
    <w:rsid w:val="008474E5"/>
    <w:rsid w:val="00856404"/>
    <w:rsid w:val="00861834"/>
    <w:rsid w:val="00862F3B"/>
    <w:rsid w:val="00865349"/>
    <w:rsid w:val="00866B87"/>
    <w:rsid w:val="00867F81"/>
    <w:rsid w:val="008732C2"/>
    <w:rsid w:val="00885762"/>
    <w:rsid w:val="00891061"/>
    <w:rsid w:val="008A02BC"/>
    <w:rsid w:val="008A6ECA"/>
    <w:rsid w:val="008B4BF3"/>
    <w:rsid w:val="008B5886"/>
    <w:rsid w:val="008C0FF8"/>
    <w:rsid w:val="008D459B"/>
    <w:rsid w:val="008E569B"/>
    <w:rsid w:val="008F0CA9"/>
    <w:rsid w:val="008F27AC"/>
    <w:rsid w:val="00915EBA"/>
    <w:rsid w:val="00925514"/>
    <w:rsid w:val="00926229"/>
    <w:rsid w:val="00930E74"/>
    <w:rsid w:val="009566C0"/>
    <w:rsid w:val="00970535"/>
    <w:rsid w:val="00974670"/>
    <w:rsid w:val="009847E6"/>
    <w:rsid w:val="00984B76"/>
    <w:rsid w:val="0099103C"/>
    <w:rsid w:val="009940D1"/>
    <w:rsid w:val="009A0DA2"/>
    <w:rsid w:val="009B4E3C"/>
    <w:rsid w:val="009C15E0"/>
    <w:rsid w:val="009D3C75"/>
    <w:rsid w:val="009D3C9C"/>
    <w:rsid w:val="009E7EE9"/>
    <w:rsid w:val="009F67D0"/>
    <w:rsid w:val="009F6FC4"/>
    <w:rsid w:val="00A021BB"/>
    <w:rsid w:val="00A05048"/>
    <w:rsid w:val="00A10526"/>
    <w:rsid w:val="00A168E2"/>
    <w:rsid w:val="00A32381"/>
    <w:rsid w:val="00A500F1"/>
    <w:rsid w:val="00A519FE"/>
    <w:rsid w:val="00A61788"/>
    <w:rsid w:val="00A637D5"/>
    <w:rsid w:val="00A700B7"/>
    <w:rsid w:val="00A70936"/>
    <w:rsid w:val="00A71A84"/>
    <w:rsid w:val="00A72002"/>
    <w:rsid w:val="00A74074"/>
    <w:rsid w:val="00AA0BC7"/>
    <w:rsid w:val="00AB585A"/>
    <w:rsid w:val="00AC0EF5"/>
    <w:rsid w:val="00AF58BF"/>
    <w:rsid w:val="00B03EB3"/>
    <w:rsid w:val="00B40B67"/>
    <w:rsid w:val="00B468AB"/>
    <w:rsid w:val="00B57C7D"/>
    <w:rsid w:val="00B611AB"/>
    <w:rsid w:val="00B62AE1"/>
    <w:rsid w:val="00B64CAF"/>
    <w:rsid w:val="00B7271C"/>
    <w:rsid w:val="00B73397"/>
    <w:rsid w:val="00B75D9B"/>
    <w:rsid w:val="00B76B44"/>
    <w:rsid w:val="00B77112"/>
    <w:rsid w:val="00B82096"/>
    <w:rsid w:val="00B82E1F"/>
    <w:rsid w:val="00BA4056"/>
    <w:rsid w:val="00BA423A"/>
    <w:rsid w:val="00BA5E21"/>
    <w:rsid w:val="00BA6863"/>
    <w:rsid w:val="00BB5C17"/>
    <w:rsid w:val="00BC02A5"/>
    <w:rsid w:val="00BD08DC"/>
    <w:rsid w:val="00BD1434"/>
    <w:rsid w:val="00BE5A0E"/>
    <w:rsid w:val="00BF1F7B"/>
    <w:rsid w:val="00C12328"/>
    <w:rsid w:val="00C16265"/>
    <w:rsid w:val="00C24690"/>
    <w:rsid w:val="00C27BDE"/>
    <w:rsid w:val="00C3748F"/>
    <w:rsid w:val="00C37FD1"/>
    <w:rsid w:val="00C40B2D"/>
    <w:rsid w:val="00C6181F"/>
    <w:rsid w:val="00C7593B"/>
    <w:rsid w:val="00C76FAF"/>
    <w:rsid w:val="00C8006C"/>
    <w:rsid w:val="00C95485"/>
    <w:rsid w:val="00C96E90"/>
    <w:rsid w:val="00CA10AF"/>
    <w:rsid w:val="00CB389B"/>
    <w:rsid w:val="00CC56EF"/>
    <w:rsid w:val="00CC6DF3"/>
    <w:rsid w:val="00CC709C"/>
    <w:rsid w:val="00CC7828"/>
    <w:rsid w:val="00CD0CFF"/>
    <w:rsid w:val="00CE0E7C"/>
    <w:rsid w:val="00CE769D"/>
    <w:rsid w:val="00D22C46"/>
    <w:rsid w:val="00D23080"/>
    <w:rsid w:val="00D366C9"/>
    <w:rsid w:val="00D405E9"/>
    <w:rsid w:val="00D42C94"/>
    <w:rsid w:val="00D467C3"/>
    <w:rsid w:val="00D57B85"/>
    <w:rsid w:val="00D611FC"/>
    <w:rsid w:val="00D6135A"/>
    <w:rsid w:val="00D71A3D"/>
    <w:rsid w:val="00D743C9"/>
    <w:rsid w:val="00DA5E2D"/>
    <w:rsid w:val="00DC213A"/>
    <w:rsid w:val="00DC3317"/>
    <w:rsid w:val="00DC52F2"/>
    <w:rsid w:val="00DC6815"/>
    <w:rsid w:val="00DD568E"/>
    <w:rsid w:val="00DE2926"/>
    <w:rsid w:val="00DF047F"/>
    <w:rsid w:val="00DF1D4F"/>
    <w:rsid w:val="00E142D3"/>
    <w:rsid w:val="00E1773A"/>
    <w:rsid w:val="00E21541"/>
    <w:rsid w:val="00E32135"/>
    <w:rsid w:val="00E342A8"/>
    <w:rsid w:val="00E36EE8"/>
    <w:rsid w:val="00E4777F"/>
    <w:rsid w:val="00E530B8"/>
    <w:rsid w:val="00E60F65"/>
    <w:rsid w:val="00E65500"/>
    <w:rsid w:val="00E6550F"/>
    <w:rsid w:val="00E743F8"/>
    <w:rsid w:val="00E75878"/>
    <w:rsid w:val="00E87B31"/>
    <w:rsid w:val="00E87DC4"/>
    <w:rsid w:val="00E900D8"/>
    <w:rsid w:val="00E95345"/>
    <w:rsid w:val="00EA2AA7"/>
    <w:rsid w:val="00EA544F"/>
    <w:rsid w:val="00EB32E4"/>
    <w:rsid w:val="00EC690F"/>
    <w:rsid w:val="00EF0968"/>
    <w:rsid w:val="00F067E5"/>
    <w:rsid w:val="00F32DEB"/>
    <w:rsid w:val="00F45AA2"/>
    <w:rsid w:val="00F528AD"/>
    <w:rsid w:val="00F61420"/>
    <w:rsid w:val="00F63076"/>
    <w:rsid w:val="00F829AE"/>
    <w:rsid w:val="00F851CB"/>
    <w:rsid w:val="00FA70A9"/>
    <w:rsid w:val="00FB3182"/>
    <w:rsid w:val="00FC4628"/>
    <w:rsid w:val="00FE2E19"/>
    <w:rsid w:val="00FE4ED2"/>
    <w:rsid w:val="00FF19AD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7BA99"/>
  <w15:docId w15:val="{B5D50004-AD3E-4421-863C-F53785C3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14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927"/>
  </w:style>
  <w:style w:type="paragraph" w:styleId="Heading1">
    <w:name w:val="heading 1"/>
    <w:basedOn w:val="Normal"/>
    <w:next w:val="Normal"/>
    <w:link w:val="Heading1Char"/>
    <w:qFormat/>
    <w:rsid w:val="00D42C9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lltdetails">
    <w:name w:val="rllt__details"/>
    <w:basedOn w:val="DefaultParagraphFont"/>
    <w:rsid w:val="00676927"/>
  </w:style>
  <w:style w:type="character" w:styleId="Strong">
    <w:name w:val="Strong"/>
    <w:basedOn w:val="DefaultParagraphFont"/>
    <w:uiPriority w:val="22"/>
    <w:qFormat/>
    <w:rsid w:val="00676927"/>
    <w:rPr>
      <w:b/>
      <w:bCs/>
    </w:rPr>
  </w:style>
  <w:style w:type="character" w:customStyle="1" w:styleId="tli">
    <w:name w:val="tli"/>
    <w:basedOn w:val="DefaultParagraphFont"/>
    <w:rsid w:val="001159EB"/>
  </w:style>
  <w:style w:type="paragraph" w:styleId="NormalWeb">
    <w:name w:val="Normal (Web)"/>
    <w:basedOn w:val="Normal"/>
    <w:uiPriority w:val="99"/>
    <w:unhideWhenUsed/>
    <w:rsid w:val="007D1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ormal bullet 2,body 2,Forth level,List_Paragraph,Multilevel para_II,List Paragraph2,Akapit z listą BS,Outlines a.b.c.,Akapit z lista BS,Appendix_llevel1,Paragraph,Citation List,ANNEX,bullet,bu,bullet1,B,b1,body,b Char Char Char,b Char Char"/>
    <w:basedOn w:val="Normal"/>
    <w:link w:val="ListParagraphChar"/>
    <w:uiPriority w:val="34"/>
    <w:qFormat/>
    <w:rsid w:val="00A70936"/>
    <w:pPr>
      <w:ind w:left="720"/>
      <w:contextualSpacing/>
    </w:pPr>
  </w:style>
  <w:style w:type="paragraph" w:styleId="BodyText">
    <w:name w:val="Body Text"/>
    <w:basedOn w:val="Normal"/>
    <w:link w:val="BodyTextChar"/>
    <w:rsid w:val="00E87B3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E87B31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TableParagraph">
    <w:name w:val="Table Paragraph"/>
    <w:basedOn w:val="Normal"/>
    <w:uiPriority w:val="1"/>
    <w:qFormat/>
    <w:rsid w:val="004905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o-RO" w:eastAsia="ro-RO" w:bidi="ro-RO"/>
    </w:rPr>
  </w:style>
  <w:style w:type="paragraph" w:styleId="BalloonText">
    <w:name w:val="Balloon Text"/>
    <w:basedOn w:val="Normal"/>
    <w:link w:val="BalloonTextChar"/>
    <w:uiPriority w:val="99"/>
    <w:unhideWhenUsed/>
    <w:rsid w:val="007F0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F023A"/>
    <w:rPr>
      <w:rFonts w:ascii="Segoe UI" w:hAnsi="Segoe UI" w:cs="Segoe UI"/>
      <w:sz w:val="18"/>
      <w:szCs w:val="18"/>
    </w:rPr>
  </w:style>
  <w:style w:type="paragraph" w:customStyle="1" w:styleId="Style21">
    <w:name w:val="Style21"/>
    <w:basedOn w:val="Normal"/>
    <w:uiPriority w:val="99"/>
    <w:rsid w:val="00BA42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12">
    <w:name w:val="Font Style112"/>
    <w:uiPriority w:val="99"/>
    <w:rsid w:val="00BA423A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47">
    <w:name w:val="Font Style147"/>
    <w:uiPriority w:val="99"/>
    <w:rsid w:val="00BA423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"/>
    <w:uiPriority w:val="99"/>
    <w:rsid w:val="00BA423A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74">
    <w:name w:val="Style74"/>
    <w:basedOn w:val="Normal"/>
    <w:uiPriority w:val="99"/>
    <w:rsid w:val="00862F3B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33">
    <w:name w:val="Style33"/>
    <w:basedOn w:val="Normal"/>
    <w:uiPriority w:val="99"/>
    <w:rsid w:val="00862F3B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27">
    <w:name w:val="Font Style127"/>
    <w:uiPriority w:val="99"/>
    <w:rsid w:val="00862F3B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88">
    <w:name w:val="Style88"/>
    <w:basedOn w:val="Normal"/>
    <w:uiPriority w:val="99"/>
    <w:rsid w:val="00862F3B"/>
    <w:pPr>
      <w:widowControl w:val="0"/>
      <w:autoSpaceDE w:val="0"/>
      <w:autoSpaceDN w:val="0"/>
      <w:adjustRightInd w:val="0"/>
      <w:spacing w:after="0" w:line="552" w:lineRule="exact"/>
      <w:ind w:firstLine="350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37">
    <w:name w:val="Font Style137"/>
    <w:uiPriority w:val="99"/>
    <w:rsid w:val="00D57B85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35">
    <w:name w:val="Style35"/>
    <w:basedOn w:val="Normal"/>
    <w:uiPriority w:val="99"/>
    <w:rsid w:val="00D57B8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0">
    <w:name w:val="Style10"/>
    <w:basedOn w:val="Normal"/>
    <w:uiPriority w:val="99"/>
    <w:rsid w:val="00D57B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44">
    <w:name w:val="Style44"/>
    <w:basedOn w:val="Normal"/>
    <w:uiPriority w:val="99"/>
    <w:rsid w:val="00D57B85"/>
    <w:pPr>
      <w:widowControl w:val="0"/>
      <w:autoSpaceDE w:val="0"/>
      <w:autoSpaceDN w:val="0"/>
      <w:adjustRightInd w:val="0"/>
      <w:spacing w:after="0" w:line="538" w:lineRule="exact"/>
      <w:ind w:hanging="504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57">
    <w:name w:val="Style57"/>
    <w:basedOn w:val="Normal"/>
    <w:uiPriority w:val="99"/>
    <w:rsid w:val="00D57B8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36">
    <w:name w:val="Font Style136"/>
    <w:uiPriority w:val="99"/>
    <w:rsid w:val="00D57B85"/>
    <w:rPr>
      <w:rFonts w:ascii="Times New Roman" w:hAnsi="Times New Roman" w:cs="Times New Roman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521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body 2 Char,Forth level Char,List_Paragraph Char,Multilevel para_II Char,List Paragraph2 Char,Akapit z listą BS Char,Outlines a.b.c. Char,Akapit z lista BS Char,Appendix_llevel1 Char,Paragraph Char,ANNEX Char"/>
    <w:link w:val="ListParagraph"/>
    <w:uiPriority w:val="34"/>
    <w:rsid w:val="003746BA"/>
  </w:style>
  <w:style w:type="paragraph" w:styleId="BodyText2">
    <w:name w:val="Body Text 2"/>
    <w:basedOn w:val="Normal"/>
    <w:link w:val="BodyText2Char"/>
    <w:uiPriority w:val="99"/>
    <w:semiHidden/>
    <w:unhideWhenUsed/>
    <w:rsid w:val="006514A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514AF"/>
  </w:style>
  <w:style w:type="paragraph" w:customStyle="1" w:styleId="Default">
    <w:name w:val="Default"/>
    <w:rsid w:val="006514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805A80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027F9E"/>
    <w:rPr>
      <w:i/>
      <w:iCs/>
    </w:rPr>
  </w:style>
  <w:style w:type="character" w:customStyle="1" w:styleId="tli1">
    <w:name w:val="tli1"/>
    <w:basedOn w:val="DefaultParagraphFont"/>
    <w:rsid w:val="000F4E21"/>
  </w:style>
  <w:style w:type="paragraph" w:styleId="Caption">
    <w:name w:val="caption"/>
    <w:basedOn w:val="Normal"/>
    <w:qFormat/>
    <w:rsid w:val="000F4E21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4"/>
      <w:szCs w:val="24"/>
      <w:lang w:val="en-GB" w:eastAsia="ar-SA"/>
    </w:rPr>
  </w:style>
  <w:style w:type="character" w:customStyle="1" w:styleId="Heading1Char">
    <w:name w:val="Heading 1 Char"/>
    <w:basedOn w:val="DefaultParagraphFont"/>
    <w:link w:val="Heading1"/>
    <w:rsid w:val="00D42C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 w:eastAsia="ro-RO"/>
    </w:rPr>
  </w:style>
  <w:style w:type="paragraph" w:customStyle="1" w:styleId="alfejezet">
    <w:name w:val="alfejezet"/>
    <w:basedOn w:val="Normal"/>
    <w:link w:val="alfejezetChar"/>
    <w:qFormat/>
    <w:rsid w:val="00D42C94"/>
    <w:pPr>
      <w:shd w:val="clear" w:color="auto" w:fill="FFFFFF"/>
      <w:snapToGrid w:val="0"/>
      <w:spacing w:before="120" w:after="120"/>
      <w:ind w:left="1080"/>
      <w:jc w:val="both"/>
    </w:pPr>
    <w:rPr>
      <w:rFonts w:ascii="Times New Roman" w:hAnsi="Times New Roman" w:cs="Times New Roman"/>
      <w:b/>
      <w:noProof/>
      <w:color w:val="0070C0"/>
      <w:sz w:val="24"/>
      <w:szCs w:val="24"/>
      <w:u w:val="single"/>
      <w:lang w:val="ro-RO"/>
    </w:rPr>
  </w:style>
  <w:style w:type="character" w:customStyle="1" w:styleId="alfejezetChar">
    <w:name w:val="alfejezet Char"/>
    <w:basedOn w:val="DefaultParagraphFont"/>
    <w:link w:val="alfejezet"/>
    <w:rsid w:val="00D42C94"/>
    <w:rPr>
      <w:rFonts w:ascii="Times New Roman" w:hAnsi="Times New Roman" w:cs="Times New Roman"/>
      <w:b/>
      <w:noProof/>
      <w:color w:val="0070C0"/>
      <w:sz w:val="24"/>
      <w:szCs w:val="24"/>
      <w:u w:val="single"/>
      <w:shd w:val="clear" w:color="auto" w:fill="FFFFFF"/>
      <w:lang w:val="ro-RO"/>
    </w:rPr>
  </w:style>
  <w:style w:type="character" w:customStyle="1" w:styleId="HTMLPreformattedChar">
    <w:name w:val="HTML Preformatted Char"/>
    <w:aliases w:val="Planshow tipus Char"/>
    <w:basedOn w:val="DefaultParagraphFont"/>
    <w:link w:val="HTMLPreformatted"/>
    <w:uiPriority w:val="14"/>
    <w:semiHidden/>
    <w:rsid w:val="00D42C94"/>
    <w:rPr>
      <w:rFonts w:ascii="Courier New" w:eastAsia="Times New Roman" w:hAnsi="Courier New" w:cs="Courier New"/>
      <w:noProof/>
      <w:sz w:val="24"/>
      <w:szCs w:val="24"/>
    </w:rPr>
  </w:style>
  <w:style w:type="paragraph" w:styleId="HTMLPreformatted">
    <w:name w:val="HTML Preformatted"/>
    <w:aliases w:val="Planshow tipus"/>
    <w:basedOn w:val="Normal"/>
    <w:link w:val="HTMLPreformattedChar"/>
    <w:uiPriority w:val="14"/>
    <w:semiHidden/>
    <w:unhideWhenUsed/>
    <w:qFormat/>
    <w:rsid w:val="00D42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noProof/>
      <w:sz w:val="24"/>
      <w:szCs w:val="24"/>
    </w:rPr>
  </w:style>
  <w:style w:type="character" w:customStyle="1" w:styleId="HTMLPreformattedChar1">
    <w:name w:val="HTML Preformatted Char1"/>
    <w:basedOn w:val="DefaultParagraphFont"/>
    <w:uiPriority w:val="99"/>
    <w:semiHidden/>
    <w:rsid w:val="00D42C94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0D4D6-424D-4234-8089-37EE4F593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1188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Primaria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</dc:creator>
  <cp:keywords/>
  <dc:description/>
  <cp:lastModifiedBy>User</cp:lastModifiedBy>
  <cp:revision>2</cp:revision>
  <cp:lastPrinted>2022-08-12T06:44:00Z</cp:lastPrinted>
  <dcterms:created xsi:type="dcterms:W3CDTF">2023-05-19T06:22:00Z</dcterms:created>
  <dcterms:modified xsi:type="dcterms:W3CDTF">2023-05-19T06:22:00Z</dcterms:modified>
</cp:coreProperties>
</file>